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pPr>
      <w:r>
        <w:rPr>
          <w:rFonts w:hint="eastAsia" w:cs="黑体"/>
        </w:rPr>
        <w:t>延边大学本科教学事故认定及处理办法</w:t>
      </w:r>
      <w:r>
        <w:t>(</w:t>
      </w:r>
      <w:r>
        <w:rPr>
          <w:rFonts w:hint="eastAsia" w:cs="黑体"/>
        </w:rPr>
        <w:t>讨论稿</w:t>
      </w:r>
      <w:r>
        <w:t>)</w:t>
      </w:r>
    </w:p>
    <w:p>
      <w:pPr>
        <w:pStyle w:val="12"/>
      </w:pPr>
    </w:p>
    <w:p>
      <w:pPr>
        <w:pStyle w:val="8"/>
        <w:spacing w:before="381"/>
        <w:rPr>
          <w:rFonts w:cs="Times New Roman"/>
        </w:rPr>
      </w:pPr>
      <w:r>
        <w:rPr>
          <w:rFonts w:hint="eastAsia"/>
        </w:rPr>
        <w:t>第一章</w:t>
      </w:r>
      <w:r>
        <w:t xml:space="preserve">  </w:t>
      </w:r>
      <w:r>
        <w:rPr>
          <w:rFonts w:hint="eastAsia"/>
        </w:rPr>
        <w:t>总</w:t>
      </w:r>
      <w:r>
        <w:t xml:space="preserve">  </w:t>
      </w:r>
      <w:r>
        <w:rPr>
          <w:rFonts w:hint="eastAsia"/>
        </w:rPr>
        <w:t>则</w:t>
      </w:r>
      <w:bookmarkStart w:id="0" w:name="_GoBack"/>
      <w:bookmarkEnd w:id="0"/>
    </w:p>
    <w:p>
      <w:pPr>
        <w:ind w:firstLine="31680"/>
        <w:rPr>
          <w:rFonts w:hAnsi="仿宋" w:cs="Times New Roman"/>
        </w:rPr>
      </w:pPr>
      <w:r>
        <w:rPr>
          <w:rStyle w:val="22"/>
          <w:rFonts w:hint="eastAsia" w:ascii="仿宋" w:hAnsi="仿宋" w:eastAsia="仿宋" w:cs="仿宋"/>
          <w:b/>
          <w:bCs/>
          <w:snapToGrid/>
          <w:sz w:val="28"/>
          <w:szCs w:val="28"/>
        </w:rPr>
        <w:t>第一条</w:t>
      </w:r>
      <w:r>
        <w:rPr>
          <w:rFonts w:hAnsi="仿宋"/>
        </w:rPr>
        <w:t xml:space="preserve">  </w:t>
      </w:r>
      <w:r>
        <w:rPr>
          <w:rFonts w:hint="eastAsia" w:hAnsi="仿宋"/>
        </w:rPr>
        <w:t>为保证教学工作的科学性、规范性和严肃性，维护本科教学工作的正常秩序，及时、妥善处理各类教学事故，进一步加强教学管理，提高教学质量，根据《延边大学本科教学工作规程》，特制定本办法。</w:t>
      </w:r>
    </w:p>
    <w:p>
      <w:pPr>
        <w:ind w:firstLine="31680"/>
        <w:rPr>
          <w:rFonts w:hAnsi="仿宋" w:cs="Times New Roman"/>
          <w:snapToGrid w:val="0"/>
          <w:color w:val="000000"/>
        </w:rPr>
      </w:pPr>
      <w:r>
        <w:rPr>
          <w:rStyle w:val="22"/>
          <w:rFonts w:hint="eastAsia" w:ascii="仿宋" w:hAnsi="仿宋" w:eastAsia="仿宋" w:cs="仿宋"/>
          <w:b/>
          <w:bCs/>
          <w:snapToGrid/>
          <w:sz w:val="28"/>
          <w:szCs w:val="28"/>
        </w:rPr>
        <w:t>第二条</w:t>
      </w:r>
      <w:r>
        <w:rPr>
          <w:rFonts w:hAnsi="仿宋"/>
        </w:rPr>
        <w:t xml:space="preserve"> </w:t>
      </w:r>
      <w:r>
        <w:rPr>
          <w:rFonts w:hAnsi="仿宋"/>
          <w:color w:val="FF0000"/>
        </w:rPr>
        <w:t xml:space="preserve"> </w:t>
      </w:r>
      <w:r>
        <w:rPr>
          <w:rFonts w:hint="eastAsia" w:hAnsi="仿宋"/>
          <w:snapToGrid w:val="0"/>
          <w:color w:val="000000"/>
        </w:rPr>
        <w:t>教学事故是指因教师或为教学服务的各部门工作人员的失职，</w:t>
      </w:r>
      <w:r>
        <w:rPr>
          <w:rFonts w:hint="eastAsia" w:hAnsi="仿宋"/>
          <w:color w:val="000000"/>
        </w:rPr>
        <w:t>导致教学秩序、教学环节、教学质量及教学保障等方面造成不良后果的行为或事件。</w:t>
      </w:r>
    </w:p>
    <w:p>
      <w:pPr>
        <w:pStyle w:val="8"/>
        <w:spacing w:before="381"/>
        <w:rPr>
          <w:rFonts w:cs="Times New Roman"/>
        </w:rPr>
      </w:pPr>
      <w:r>
        <w:rPr>
          <w:rFonts w:hint="eastAsia"/>
        </w:rPr>
        <w:t>第二章</w:t>
      </w:r>
      <w:r>
        <w:t xml:space="preserve">  </w:t>
      </w:r>
      <w:r>
        <w:rPr>
          <w:rFonts w:hint="eastAsia"/>
        </w:rPr>
        <w:t>教学事故的认定与处理</w:t>
      </w:r>
    </w:p>
    <w:p>
      <w:pPr>
        <w:ind w:left="560" w:firstLine="0" w:firstLineChars="0"/>
        <w:jc w:val="both"/>
        <w:rPr>
          <w:rFonts w:hAnsi="仿宋" w:cs="Times New Roman"/>
          <w:snapToGrid w:val="0"/>
          <w:color w:val="000000"/>
        </w:rPr>
      </w:pPr>
      <w:r>
        <w:rPr>
          <w:rStyle w:val="22"/>
          <w:rFonts w:hint="eastAsia" w:ascii="仿宋" w:hAnsi="仿宋" w:eastAsia="仿宋" w:cs="仿宋"/>
          <w:b/>
          <w:bCs/>
          <w:snapToGrid/>
          <w:sz w:val="28"/>
          <w:szCs w:val="28"/>
        </w:rPr>
        <w:t>第三条</w:t>
      </w:r>
      <w:r>
        <w:rPr>
          <w:rStyle w:val="22"/>
          <w:rFonts w:ascii="仿宋" w:hAnsi="仿宋" w:eastAsia="仿宋" w:cs="仿宋"/>
          <w:sz w:val="28"/>
          <w:szCs w:val="28"/>
        </w:rPr>
        <w:t xml:space="preserve">  </w:t>
      </w:r>
      <w:r>
        <w:rPr>
          <w:rFonts w:hint="eastAsia" w:hAnsi="仿宋"/>
          <w:snapToGrid w:val="0"/>
          <w:color w:val="000000"/>
        </w:rPr>
        <w:t>根据事故的情节和造成的影响程度，教学事故分为四</w:t>
      </w:r>
    </w:p>
    <w:p>
      <w:pPr>
        <w:ind w:firstLine="0" w:firstLineChars="0"/>
        <w:jc w:val="both"/>
        <w:rPr>
          <w:rFonts w:hAnsi="仿宋" w:cs="Times New Roman"/>
          <w:snapToGrid w:val="0"/>
          <w:color w:val="000000"/>
        </w:rPr>
      </w:pPr>
      <w:r>
        <w:rPr>
          <w:rFonts w:hint="eastAsia" w:hAnsi="仿宋"/>
          <w:snapToGrid w:val="0"/>
          <w:color w:val="000000"/>
        </w:rPr>
        <w:t>类，即</w:t>
      </w:r>
      <w:r>
        <w:rPr>
          <w:rFonts w:hAnsi="仿宋"/>
          <w:snapToGrid w:val="0"/>
          <w:color w:val="000000"/>
        </w:rPr>
        <w:t>A</w:t>
      </w:r>
      <w:r>
        <w:rPr>
          <w:rFonts w:hint="eastAsia" w:hAnsi="仿宋"/>
          <w:snapToGrid w:val="0"/>
          <w:color w:val="000000"/>
        </w:rPr>
        <w:t>教学、</w:t>
      </w:r>
      <w:r>
        <w:rPr>
          <w:rFonts w:hAnsi="仿宋"/>
          <w:snapToGrid w:val="0"/>
          <w:color w:val="000000"/>
        </w:rPr>
        <w:t>B</w:t>
      </w:r>
      <w:r>
        <w:rPr>
          <w:rFonts w:hint="eastAsia" w:hAnsi="仿宋"/>
          <w:snapToGrid w:val="0"/>
          <w:color w:val="000000"/>
        </w:rPr>
        <w:t>考试与成绩、</w:t>
      </w:r>
      <w:r>
        <w:rPr>
          <w:rFonts w:hAnsi="仿宋"/>
          <w:snapToGrid w:val="0"/>
          <w:color w:val="000000"/>
        </w:rPr>
        <w:t>C</w:t>
      </w:r>
      <w:r>
        <w:rPr>
          <w:rFonts w:hint="eastAsia" w:hAnsi="仿宋"/>
          <w:snapToGrid w:val="0"/>
          <w:color w:val="000000"/>
        </w:rPr>
        <w:t>管理、</w:t>
      </w:r>
      <w:r>
        <w:rPr>
          <w:rFonts w:hAnsi="仿宋"/>
          <w:snapToGrid w:val="0"/>
          <w:color w:val="000000"/>
        </w:rPr>
        <w:t>D</w:t>
      </w:r>
      <w:r>
        <w:rPr>
          <w:rFonts w:hint="eastAsia" w:hAnsi="仿宋"/>
          <w:snapToGrid w:val="0"/>
          <w:color w:val="000000"/>
        </w:rPr>
        <w:t>保障；教学事故类别分三级：Ⅰ级（重大）、Ⅱ级（严重）、Ⅲ级（一般）。</w:t>
      </w:r>
    </w:p>
    <w:p>
      <w:pPr>
        <w:pStyle w:val="8"/>
        <w:spacing w:before="381"/>
        <w:rPr>
          <w:rFonts w:cs="Times New Roman"/>
        </w:rPr>
      </w:pPr>
      <w:r>
        <w:rPr>
          <w:rFonts w:hint="eastAsia"/>
        </w:rPr>
        <w:t>教学事故分类与级别</w:t>
      </w:r>
    </w:p>
    <w:tbl>
      <w:tblPr>
        <w:tblStyle w:val="14"/>
        <w:tblW w:w="8681" w:type="dxa"/>
        <w:jc w:val="center"/>
        <w:tblInd w:w="0" w:type="dxa"/>
        <w:tblLayout w:type="fixed"/>
        <w:tblCellMar>
          <w:top w:w="0" w:type="dxa"/>
          <w:left w:w="108" w:type="dxa"/>
          <w:bottom w:w="0" w:type="dxa"/>
          <w:right w:w="108" w:type="dxa"/>
        </w:tblCellMar>
      </w:tblPr>
      <w:tblGrid>
        <w:gridCol w:w="748"/>
        <w:gridCol w:w="7140"/>
        <w:gridCol w:w="793"/>
      </w:tblGrid>
      <w:tr>
        <w:tblPrEx>
          <w:tblLayout w:type="fixed"/>
          <w:tblCellMar>
            <w:top w:w="0" w:type="dxa"/>
            <w:left w:w="108" w:type="dxa"/>
            <w:bottom w:w="0" w:type="dxa"/>
            <w:right w:w="108" w:type="dxa"/>
          </w:tblCellMar>
        </w:tblPrEx>
        <w:trPr>
          <w:trHeight w:val="600"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b/>
                <w:bCs/>
                <w:color w:val="000000"/>
                <w:sz w:val="24"/>
                <w:szCs w:val="24"/>
              </w:rPr>
            </w:pPr>
            <w:r>
              <w:rPr>
                <w:rFonts w:hint="eastAsia" w:hAnsi="仿宋"/>
                <w:b/>
                <w:bCs/>
                <w:color w:val="000000"/>
                <w:sz w:val="24"/>
                <w:szCs w:val="24"/>
              </w:rPr>
              <w:t>类别</w:t>
            </w:r>
          </w:p>
        </w:tc>
        <w:tc>
          <w:tcPr>
            <w:tcW w:w="7140" w:type="dxa"/>
            <w:tcBorders>
              <w:top w:val="single" w:color="auto" w:sz="4" w:space="0"/>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31680"/>
              <w:jc w:val="center"/>
              <w:rPr>
                <w:rFonts w:hAnsi="仿宋" w:cs="Times New Roman"/>
                <w:b/>
                <w:bCs/>
                <w:color w:val="000000"/>
                <w:sz w:val="24"/>
                <w:szCs w:val="24"/>
              </w:rPr>
            </w:pPr>
            <w:r>
              <w:rPr>
                <w:rFonts w:hint="eastAsia" w:hAnsi="仿宋"/>
                <w:b/>
                <w:bCs/>
                <w:color w:val="000000"/>
                <w:sz w:val="24"/>
                <w:szCs w:val="24"/>
              </w:rPr>
              <w:t>事</w:t>
            </w:r>
            <w:r>
              <w:rPr>
                <w:rFonts w:hAnsi="仿宋"/>
                <w:b/>
                <w:bCs/>
                <w:color w:val="000000"/>
                <w:sz w:val="24"/>
                <w:szCs w:val="24"/>
              </w:rPr>
              <w:t xml:space="preserve">  </w:t>
            </w:r>
            <w:r>
              <w:rPr>
                <w:rFonts w:hint="eastAsia" w:hAnsi="仿宋"/>
                <w:b/>
                <w:bCs/>
                <w:color w:val="000000"/>
                <w:sz w:val="24"/>
                <w:szCs w:val="24"/>
              </w:rPr>
              <w:t>项</w:t>
            </w:r>
          </w:p>
        </w:tc>
        <w:tc>
          <w:tcPr>
            <w:tcW w:w="793" w:type="dxa"/>
            <w:tcBorders>
              <w:top w:val="single" w:color="auto" w:sz="4" w:space="0"/>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b/>
                <w:bCs/>
                <w:color w:val="000000"/>
                <w:sz w:val="24"/>
                <w:szCs w:val="24"/>
              </w:rPr>
            </w:pPr>
            <w:r>
              <w:rPr>
                <w:rFonts w:hint="eastAsia" w:hAnsi="仿宋"/>
                <w:b/>
                <w:bCs/>
                <w:color w:val="000000"/>
                <w:sz w:val="24"/>
                <w:szCs w:val="24"/>
              </w:rPr>
              <w:t>级别</w:t>
            </w:r>
          </w:p>
        </w:tc>
      </w:tr>
      <w:tr>
        <w:tblPrEx>
          <w:tblLayout w:type="fixed"/>
          <w:tblCellMar>
            <w:top w:w="0" w:type="dxa"/>
            <w:left w:w="108" w:type="dxa"/>
            <w:bottom w:w="0" w:type="dxa"/>
            <w:right w:w="108" w:type="dxa"/>
          </w:tblCellMar>
        </w:tblPrEx>
        <w:trPr>
          <w:trHeight w:val="600" w:hRule="atLeast"/>
          <w:jc w:val="center"/>
        </w:trPr>
        <w:tc>
          <w:tcPr>
            <w:tcW w:w="748" w:type="dxa"/>
            <w:vMerge w:val="restart"/>
            <w:tcBorders>
              <w:top w:val="nil"/>
              <w:left w:val="single" w:color="auto" w:sz="4" w:space="0"/>
              <w:bottom w:val="single" w:color="000000"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A1</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擅自停课</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Ⅰ</w:t>
            </w:r>
          </w:p>
        </w:tc>
      </w:tr>
      <w:tr>
        <w:tblPrEx>
          <w:tblLayout w:type="fixed"/>
          <w:tblCellMar>
            <w:top w:w="0" w:type="dxa"/>
            <w:left w:w="108" w:type="dxa"/>
            <w:bottom w:w="0" w:type="dxa"/>
            <w:right w:w="108" w:type="dxa"/>
          </w:tblCellMar>
        </w:tblPrEx>
        <w:trPr>
          <w:trHeight w:val="600" w:hRule="atLeast"/>
          <w:jc w:val="center"/>
        </w:trPr>
        <w:tc>
          <w:tcPr>
            <w:tcW w:w="748" w:type="dxa"/>
            <w:vMerge w:val="continue"/>
            <w:tcBorders>
              <w:top w:val="nil"/>
              <w:left w:val="single" w:color="auto" w:sz="4" w:space="0"/>
              <w:bottom w:val="single" w:color="000000"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擅自调、串课</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Ⅱ</w:t>
            </w:r>
          </w:p>
        </w:tc>
      </w:tr>
      <w:tr>
        <w:tblPrEx>
          <w:tblLayout w:type="fixed"/>
          <w:tblCellMar>
            <w:top w:w="0" w:type="dxa"/>
            <w:left w:w="108" w:type="dxa"/>
            <w:bottom w:w="0" w:type="dxa"/>
            <w:right w:w="108" w:type="dxa"/>
          </w:tblCellMar>
        </w:tblPrEx>
        <w:trPr>
          <w:trHeight w:val="600" w:hRule="atLeast"/>
          <w:jc w:val="center"/>
        </w:trPr>
        <w:tc>
          <w:tcPr>
            <w:tcW w:w="748" w:type="dxa"/>
            <w:vMerge w:val="continue"/>
            <w:tcBorders>
              <w:top w:val="nil"/>
              <w:left w:val="single" w:color="auto" w:sz="4" w:space="0"/>
              <w:bottom w:val="single" w:color="000000"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擅自由他人代课</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Ⅲ</w:t>
            </w:r>
          </w:p>
        </w:tc>
      </w:tr>
      <w:tr>
        <w:tblPrEx>
          <w:tblLayout w:type="fixed"/>
          <w:tblCellMar>
            <w:top w:w="0" w:type="dxa"/>
            <w:left w:w="108" w:type="dxa"/>
            <w:bottom w:w="0" w:type="dxa"/>
            <w:right w:w="108" w:type="dxa"/>
          </w:tblCellMar>
        </w:tblPrEx>
        <w:trPr>
          <w:trHeight w:val="600" w:hRule="atLeast"/>
          <w:jc w:val="center"/>
        </w:trPr>
        <w:tc>
          <w:tcPr>
            <w:tcW w:w="748" w:type="dxa"/>
            <w:vMerge w:val="restart"/>
            <w:tcBorders>
              <w:top w:val="nil"/>
              <w:left w:val="single" w:color="auto" w:sz="4" w:space="0"/>
              <w:bottom w:val="single" w:color="000000"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A2</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由于非不可抗力原因，上课迟到、离开课堂或提前下课≥</w:t>
            </w:r>
            <w:r>
              <w:rPr>
                <w:rFonts w:hAnsi="仿宋"/>
                <w:color w:val="000000"/>
                <w:sz w:val="24"/>
                <w:szCs w:val="24"/>
              </w:rPr>
              <w:t>5</w:t>
            </w:r>
            <w:r>
              <w:rPr>
                <w:rFonts w:hint="eastAsia" w:hAnsi="仿宋"/>
                <w:color w:val="000000"/>
                <w:sz w:val="24"/>
                <w:szCs w:val="24"/>
              </w:rPr>
              <w:t>分钟的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Ⅲ</w:t>
            </w:r>
          </w:p>
        </w:tc>
      </w:tr>
      <w:tr>
        <w:tblPrEx>
          <w:tblLayout w:type="fixed"/>
          <w:tblCellMar>
            <w:top w:w="0" w:type="dxa"/>
            <w:left w:w="108" w:type="dxa"/>
            <w:bottom w:w="0" w:type="dxa"/>
            <w:right w:w="108" w:type="dxa"/>
          </w:tblCellMar>
        </w:tblPrEx>
        <w:trPr>
          <w:trHeight w:val="600" w:hRule="atLeast"/>
          <w:jc w:val="center"/>
        </w:trPr>
        <w:tc>
          <w:tcPr>
            <w:tcW w:w="748" w:type="dxa"/>
            <w:vMerge w:val="continue"/>
            <w:tcBorders>
              <w:top w:val="nil"/>
              <w:left w:val="single" w:color="auto" w:sz="4" w:space="0"/>
              <w:bottom w:val="single" w:color="000000"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由于非不可抗力原因，上课迟到、离开课堂或提前下课≥</w:t>
            </w:r>
            <w:r>
              <w:rPr>
                <w:rFonts w:hAnsi="仿宋"/>
                <w:color w:val="000000"/>
                <w:sz w:val="24"/>
                <w:szCs w:val="24"/>
              </w:rPr>
              <w:t>10</w:t>
            </w:r>
            <w:r>
              <w:rPr>
                <w:rFonts w:hint="eastAsia" w:hAnsi="仿宋"/>
                <w:color w:val="000000"/>
                <w:sz w:val="24"/>
                <w:szCs w:val="24"/>
              </w:rPr>
              <w:t>分钟的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Ⅱ</w:t>
            </w:r>
          </w:p>
        </w:tc>
      </w:tr>
      <w:tr>
        <w:tblPrEx>
          <w:tblLayout w:type="fixed"/>
          <w:tblCellMar>
            <w:top w:w="0" w:type="dxa"/>
            <w:left w:w="108" w:type="dxa"/>
            <w:bottom w:w="0" w:type="dxa"/>
            <w:right w:w="108" w:type="dxa"/>
          </w:tblCellMar>
        </w:tblPrEx>
        <w:trPr>
          <w:trHeight w:val="600" w:hRule="atLeast"/>
          <w:jc w:val="center"/>
        </w:trPr>
        <w:tc>
          <w:tcPr>
            <w:tcW w:w="748" w:type="dxa"/>
            <w:tcBorders>
              <w:top w:val="nil"/>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A3</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课堂教学过程中使用通讯工具的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Ⅲ</w:t>
            </w:r>
          </w:p>
        </w:tc>
      </w:tr>
      <w:tr>
        <w:tblPrEx>
          <w:tblLayout w:type="fixed"/>
          <w:tblCellMar>
            <w:top w:w="0" w:type="dxa"/>
            <w:left w:w="108" w:type="dxa"/>
            <w:bottom w:w="0" w:type="dxa"/>
            <w:right w:w="108" w:type="dxa"/>
          </w:tblCellMar>
        </w:tblPrEx>
        <w:trPr>
          <w:trHeight w:val="600"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A4</w:t>
            </w:r>
          </w:p>
        </w:tc>
        <w:tc>
          <w:tcPr>
            <w:tcW w:w="7140" w:type="dxa"/>
            <w:tcBorders>
              <w:top w:val="single" w:color="auto" w:sz="4" w:space="0"/>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未能认真组织课堂秩序，造成课堂秩序混乱，影响正常教学的</w:t>
            </w:r>
          </w:p>
        </w:tc>
        <w:tc>
          <w:tcPr>
            <w:tcW w:w="793" w:type="dxa"/>
            <w:tcBorders>
              <w:top w:val="single" w:color="auto" w:sz="4" w:space="0"/>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Ⅲ</w:t>
            </w:r>
          </w:p>
        </w:tc>
      </w:tr>
      <w:tr>
        <w:tblPrEx>
          <w:tblLayout w:type="fixed"/>
          <w:tblCellMar>
            <w:top w:w="0" w:type="dxa"/>
            <w:left w:w="108" w:type="dxa"/>
            <w:bottom w:w="0" w:type="dxa"/>
            <w:right w:w="108" w:type="dxa"/>
          </w:tblCellMar>
        </w:tblPrEx>
        <w:trPr>
          <w:trHeight w:val="900"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A5</w:t>
            </w:r>
          </w:p>
        </w:tc>
        <w:tc>
          <w:tcPr>
            <w:tcW w:w="7140" w:type="dxa"/>
            <w:tcBorders>
              <w:top w:val="single" w:color="auto" w:sz="4" w:space="0"/>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在教学过程及教学组织管理中散布违背党的路线、方针、政策或违背教师基本职业道德规范的言论和行为，或者散布含有违法内容、封建迷信内容或者淫秽内容的言论，直接影响教学活动的正常进行或在学生中造成恶劣影响的</w:t>
            </w:r>
          </w:p>
        </w:tc>
        <w:tc>
          <w:tcPr>
            <w:tcW w:w="793" w:type="dxa"/>
            <w:tcBorders>
              <w:top w:val="single" w:color="auto" w:sz="4" w:space="0"/>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Ⅰ</w:t>
            </w:r>
          </w:p>
        </w:tc>
      </w:tr>
      <w:tr>
        <w:tblPrEx>
          <w:tblLayout w:type="fixed"/>
          <w:tblCellMar>
            <w:top w:w="0" w:type="dxa"/>
            <w:left w:w="108" w:type="dxa"/>
            <w:bottom w:w="0" w:type="dxa"/>
            <w:right w:w="108" w:type="dxa"/>
          </w:tblCellMar>
        </w:tblPrEx>
        <w:trPr>
          <w:trHeight w:val="675" w:hRule="atLeast"/>
          <w:jc w:val="center"/>
        </w:trPr>
        <w:tc>
          <w:tcPr>
            <w:tcW w:w="748" w:type="dxa"/>
            <w:tcBorders>
              <w:top w:val="nil"/>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A6</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教师对学生实行体罚或使用侮辱学生人格的语言，造成恶劣影响的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Ⅰ</w:t>
            </w:r>
          </w:p>
        </w:tc>
      </w:tr>
      <w:tr>
        <w:tblPrEx>
          <w:tblLayout w:type="fixed"/>
          <w:tblCellMar>
            <w:top w:w="0" w:type="dxa"/>
            <w:left w:w="108" w:type="dxa"/>
            <w:bottom w:w="0" w:type="dxa"/>
            <w:right w:w="108" w:type="dxa"/>
          </w:tblCellMar>
        </w:tblPrEx>
        <w:trPr>
          <w:trHeight w:val="1020" w:hRule="atLeast"/>
          <w:jc w:val="center"/>
        </w:trPr>
        <w:tc>
          <w:tcPr>
            <w:tcW w:w="748" w:type="dxa"/>
            <w:vMerge w:val="restart"/>
            <w:tcBorders>
              <w:top w:val="nil"/>
              <w:left w:val="single" w:color="auto" w:sz="4" w:space="0"/>
              <w:bottom w:val="nil"/>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A7</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任课教师无教案或备课不充分</w:t>
            </w:r>
            <w:r>
              <w:rPr>
                <w:rFonts w:hAnsi="仿宋"/>
                <w:color w:val="000000"/>
                <w:sz w:val="24"/>
                <w:szCs w:val="24"/>
              </w:rPr>
              <w:t>,</w:t>
            </w:r>
            <w:r>
              <w:rPr>
                <w:rFonts w:hint="eastAsia" w:hAnsi="仿宋"/>
                <w:color w:val="000000"/>
                <w:sz w:val="24"/>
                <w:szCs w:val="24"/>
              </w:rPr>
              <w:t>在教学过程中未按教学大纲和教学日历要求授课、布置作业、辅导答疑、批改作业以及实验报告，学生反映强烈，造成不良影响的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Ⅲ</w:t>
            </w:r>
          </w:p>
        </w:tc>
      </w:tr>
      <w:tr>
        <w:tblPrEx>
          <w:tblLayout w:type="fixed"/>
          <w:tblCellMar>
            <w:top w:w="0" w:type="dxa"/>
            <w:left w:w="108" w:type="dxa"/>
            <w:bottom w:w="0" w:type="dxa"/>
            <w:right w:w="108" w:type="dxa"/>
          </w:tblCellMar>
        </w:tblPrEx>
        <w:trPr>
          <w:trHeight w:val="900" w:hRule="atLeast"/>
          <w:jc w:val="center"/>
        </w:trPr>
        <w:tc>
          <w:tcPr>
            <w:tcW w:w="748" w:type="dxa"/>
            <w:vMerge w:val="continue"/>
            <w:tcBorders>
              <w:top w:val="nil"/>
              <w:left w:val="single" w:color="auto" w:sz="4" w:space="0"/>
              <w:bottom w:val="nil"/>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在指导毕业论文（设计）、实验、实习和课程设计时，未按规定程序和要求进行，学生反映强烈，造成不良影响的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Ⅲ</w:t>
            </w:r>
          </w:p>
        </w:tc>
      </w:tr>
      <w:tr>
        <w:tblPrEx>
          <w:tblLayout w:type="fixed"/>
          <w:tblCellMar>
            <w:top w:w="0" w:type="dxa"/>
            <w:left w:w="108" w:type="dxa"/>
            <w:bottom w:w="0" w:type="dxa"/>
            <w:right w:w="108" w:type="dxa"/>
          </w:tblCellMar>
        </w:tblPrEx>
        <w:trPr>
          <w:trHeight w:val="600" w:hRule="atLeast"/>
          <w:jc w:val="center"/>
        </w:trPr>
        <w:tc>
          <w:tcPr>
            <w:tcW w:w="748" w:type="dxa"/>
            <w:vMerge w:val="restart"/>
            <w:tcBorders>
              <w:top w:val="single" w:color="auto" w:sz="4" w:space="0"/>
              <w:left w:val="single" w:color="auto" w:sz="4" w:space="0"/>
              <w:bottom w:val="nil"/>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A8</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无故减少教学计划规定的授课时数≥</w:t>
            </w:r>
            <w:r>
              <w:rPr>
                <w:rFonts w:hAnsi="仿宋"/>
                <w:color w:val="000000"/>
                <w:sz w:val="24"/>
                <w:szCs w:val="24"/>
              </w:rPr>
              <w:t>30%</w:t>
            </w:r>
            <w:r>
              <w:rPr>
                <w:rFonts w:hint="eastAsia" w:hAnsi="仿宋"/>
                <w:color w:val="000000"/>
                <w:sz w:val="24"/>
                <w:szCs w:val="24"/>
              </w:rPr>
              <w:t>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Ⅰ</w:t>
            </w:r>
          </w:p>
        </w:tc>
      </w:tr>
      <w:tr>
        <w:tblPrEx>
          <w:tblLayout w:type="fixed"/>
          <w:tblCellMar>
            <w:top w:w="0" w:type="dxa"/>
            <w:left w:w="108" w:type="dxa"/>
            <w:bottom w:w="0" w:type="dxa"/>
            <w:right w:w="108" w:type="dxa"/>
          </w:tblCellMar>
        </w:tblPrEx>
        <w:trPr>
          <w:trHeight w:val="600" w:hRule="atLeast"/>
          <w:jc w:val="center"/>
        </w:trPr>
        <w:tc>
          <w:tcPr>
            <w:tcW w:w="748" w:type="dxa"/>
            <w:vMerge w:val="continue"/>
            <w:tcBorders>
              <w:top w:val="single" w:color="auto" w:sz="4" w:space="0"/>
              <w:left w:val="single" w:color="auto" w:sz="4" w:space="0"/>
              <w:bottom w:val="nil"/>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无故减少教学计划规定的授课时数≤</w:t>
            </w:r>
            <w:r>
              <w:rPr>
                <w:rFonts w:hAnsi="仿宋"/>
                <w:color w:val="000000"/>
                <w:sz w:val="24"/>
                <w:szCs w:val="24"/>
              </w:rPr>
              <w:t>10%</w:t>
            </w:r>
            <w:r>
              <w:rPr>
                <w:rFonts w:hint="eastAsia" w:hAnsi="仿宋"/>
                <w:color w:val="000000"/>
                <w:sz w:val="24"/>
                <w:szCs w:val="24"/>
              </w:rPr>
              <w:t>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Ⅲ</w:t>
            </w:r>
          </w:p>
        </w:tc>
      </w:tr>
      <w:tr>
        <w:tblPrEx>
          <w:tblLayout w:type="fixed"/>
          <w:tblCellMar>
            <w:top w:w="0" w:type="dxa"/>
            <w:left w:w="108" w:type="dxa"/>
            <w:bottom w:w="0" w:type="dxa"/>
            <w:right w:w="108" w:type="dxa"/>
          </w:tblCellMar>
        </w:tblPrEx>
        <w:trPr>
          <w:trHeight w:val="990"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A9</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在指导毕业论文（设计）、实习和课程设计过程中存在吃拿卡要现象，学生反映强烈，造成严重后果的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Ⅰ</w:t>
            </w:r>
          </w:p>
        </w:tc>
      </w:tr>
      <w:tr>
        <w:tblPrEx>
          <w:tblLayout w:type="fixed"/>
          <w:tblCellMar>
            <w:top w:w="0" w:type="dxa"/>
            <w:left w:w="108" w:type="dxa"/>
            <w:bottom w:w="0" w:type="dxa"/>
            <w:right w:w="108" w:type="dxa"/>
          </w:tblCellMar>
        </w:tblPrEx>
        <w:trPr>
          <w:trHeight w:val="780" w:hRule="atLeast"/>
          <w:jc w:val="center"/>
        </w:trPr>
        <w:tc>
          <w:tcPr>
            <w:tcW w:w="748" w:type="dxa"/>
            <w:vMerge w:val="restart"/>
            <w:tcBorders>
              <w:top w:val="nil"/>
              <w:left w:val="single" w:color="auto" w:sz="4" w:space="0"/>
              <w:bottom w:val="nil"/>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A10</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因失职，导致人身伤害（学生伤残）或教学仪器设备损失价值</w:t>
            </w:r>
            <w:r>
              <w:rPr>
                <w:rFonts w:hAnsi="仿宋"/>
                <w:color w:val="000000"/>
                <w:sz w:val="24"/>
                <w:szCs w:val="24"/>
              </w:rPr>
              <w:t>50,000</w:t>
            </w:r>
            <w:r>
              <w:rPr>
                <w:rFonts w:hint="eastAsia" w:hAnsi="仿宋"/>
                <w:color w:val="000000"/>
                <w:sz w:val="24"/>
                <w:szCs w:val="24"/>
              </w:rPr>
              <w:t>元（含）以上或导致其他重大财产损失的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Ⅰ</w:t>
            </w:r>
          </w:p>
        </w:tc>
      </w:tr>
      <w:tr>
        <w:tblPrEx>
          <w:tblLayout w:type="fixed"/>
          <w:tblCellMar>
            <w:top w:w="0" w:type="dxa"/>
            <w:left w:w="108" w:type="dxa"/>
            <w:bottom w:w="0" w:type="dxa"/>
            <w:right w:w="108" w:type="dxa"/>
          </w:tblCellMar>
        </w:tblPrEx>
        <w:trPr>
          <w:trHeight w:val="780" w:hRule="atLeast"/>
          <w:jc w:val="center"/>
        </w:trPr>
        <w:tc>
          <w:tcPr>
            <w:tcW w:w="748" w:type="dxa"/>
            <w:vMerge w:val="continue"/>
            <w:tcBorders>
              <w:top w:val="nil"/>
              <w:left w:val="single" w:color="auto" w:sz="4" w:space="0"/>
              <w:bottom w:val="nil"/>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因失职，导致人身伤害（学生必须住院）或教学仪器设备损坏或损失价值</w:t>
            </w:r>
            <w:r>
              <w:rPr>
                <w:rFonts w:hAnsi="仿宋"/>
                <w:color w:val="000000"/>
                <w:sz w:val="24"/>
                <w:szCs w:val="24"/>
              </w:rPr>
              <w:t>5,000</w:t>
            </w:r>
            <w:r>
              <w:rPr>
                <w:rFonts w:hint="eastAsia" w:hAnsi="仿宋"/>
                <w:color w:val="000000"/>
                <w:sz w:val="24"/>
                <w:szCs w:val="24"/>
              </w:rPr>
              <w:t>元以上、</w:t>
            </w:r>
            <w:r>
              <w:rPr>
                <w:rFonts w:hAnsi="仿宋"/>
                <w:color w:val="000000"/>
                <w:sz w:val="24"/>
                <w:szCs w:val="24"/>
              </w:rPr>
              <w:t>50,000</w:t>
            </w:r>
            <w:r>
              <w:rPr>
                <w:rFonts w:hint="eastAsia" w:hAnsi="仿宋"/>
                <w:color w:val="000000"/>
                <w:sz w:val="24"/>
                <w:szCs w:val="24"/>
              </w:rPr>
              <w:t>元以下的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Ⅱ</w:t>
            </w:r>
          </w:p>
        </w:tc>
      </w:tr>
      <w:tr>
        <w:tblPrEx>
          <w:tblLayout w:type="fixed"/>
          <w:tblCellMar>
            <w:top w:w="0" w:type="dxa"/>
            <w:left w:w="108" w:type="dxa"/>
            <w:bottom w:w="0" w:type="dxa"/>
            <w:right w:w="108" w:type="dxa"/>
          </w:tblCellMar>
        </w:tblPrEx>
        <w:trPr>
          <w:trHeight w:val="780" w:hRule="atLeast"/>
          <w:jc w:val="center"/>
        </w:trPr>
        <w:tc>
          <w:tcPr>
            <w:tcW w:w="748" w:type="dxa"/>
            <w:vMerge w:val="continue"/>
            <w:tcBorders>
              <w:top w:val="nil"/>
              <w:left w:val="single" w:color="auto" w:sz="4" w:space="0"/>
              <w:bottom w:val="nil"/>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因失职，导致人身伤害（学生必须就医）或教学仪器设备损坏或损失价值</w:t>
            </w:r>
            <w:r>
              <w:rPr>
                <w:rFonts w:hAnsi="仿宋"/>
                <w:color w:val="000000"/>
                <w:sz w:val="24"/>
                <w:szCs w:val="24"/>
              </w:rPr>
              <w:t>5,000</w:t>
            </w:r>
            <w:r>
              <w:rPr>
                <w:rFonts w:hint="eastAsia" w:hAnsi="仿宋"/>
                <w:color w:val="000000"/>
                <w:sz w:val="24"/>
                <w:szCs w:val="24"/>
              </w:rPr>
              <w:t>元（含）以下的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Ⅲ</w:t>
            </w:r>
          </w:p>
        </w:tc>
      </w:tr>
      <w:tr>
        <w:tblPrEx>
          <w:tblLayout w:type="fixed"/>
          <w:tblCellMar>
            <w:top w:w="0" w:type="dxa"/>
            <w:left w:w="108" w:type="dxa"/>
            <w:bottom w:w="0" w:type="dxa"/>
            <w:right w:w="108" w:type="dxa"/>
          </w:tblCellMar>
        </w:tblPrEx>
        <w:trPr>
          <w:trHeight w:val="780" w:hRule="atLeast"/>
          <w:jc w:val="center"/>
        </w:trPr>
        <w:tc>
          <w:tcPr>
            <w:tcW w:w="748" w:type="dxa"/>
            <w:tcBorders>
              <w:top w:val="single" w:color="auto" w:sz="4" w:space="0"/>
              <w:left w:val="single" w:color="auto" w:sz="4" w:space="0"/>
              <w:bottom w:val="nil"/>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B1</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命题教师或其他有关人员未按照规定做好试卷的保密工作，泄漏试题或变相泄漏试题的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Ⅰ</w:t>
            </w:r>
          </w:p>
        </w:tc>
      </w:tr>
      <w:tr>
        <w:tblPrEx>
          <w:tblLayout w:type="fixed"/>
          <w:tblCellMar>
            <w:top w:w="0" w:type="dxa"/>
            <w:left w:w="108" w:type="dxa"/>
            <w:bottom w:w="0" w:type="dxa"/>
            <w:right w:w="108" w:type="dxa"/>
          </w:tblCellMar>
        </w:tblPrEx>
        <w:trPr>
          <w:trHeight w:val="780" w:hRule="atLeast"/>
          <w:jc w:val="center"/>
        </w:trPr>
        <w:tc>
          <w:tcPr>
            <w:tcW w:w="748" w:type="dxa"/>
            <w:tcBorders>
              <w:top w:val="single" w:color="auto" w:sz="4" w:space="0"/>
              <w:left w:val="single" w:color="auto" w:sz="4" w:space="0"/>
              <w:bottom w:val="nil"/>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B2</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因命题错误造成考试延误或影响考试成绩评定，或同一课程连续使用雷同试卷的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Ⅱ</w:t>
            </w:r>
          </w:p>
        </w:tc>
      </w:tr>
      <w:tr>
        <w:tblPrEx>
          <w:tblLayout w:type="fixed"/>
          <w:tblCellMar>
            <w:top w:w="0" w:type="dxa"/>
            <w:left w:w="108" w:type="dxa"/>
            <w:bottom w:w="0" w:type="dxa"/>
            <w:right w:w="108" w:type="dxa"/>
          </w:tblCellMar>
        </w:tblPrEx>
        <w:trPr>
          <w:trHeight w:val="780"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B3</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不按评分标准，故意提高或压低学生成绩</w:t>
            </w:r>
            <w:r>
              <w:rPr>
                <w:rFonts w:hAnsi="仿宋"/>
                <w:color w:val="000000"/>
                <w:sz w:val="24"/>
                <w:szCs w:val="24"/>
              </w:rPr>
              <w:t>10</w:t>
            </w:r>
            <w:r>
              <w:rPr>
                <w:rFonts w:hint="eastAsia" w:hAnsi="仿宋"/>
                <w:color w:val="000000"/>
                <w:sz w:val="24"/>
                <w:szCs w:val="24"/>
              </w:rPr>
              <w:t>分以内的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Ⅱ</w:t>
            </w:r>
          </w:p>
        </w:tc>
      </w:tr>
      <w:tr>
        <w:tblPrEx>
          <w:tblLayout w:type="fixed"/>
          <w:tblCellMar>
            <w:top w:w="0" w:type="dxa"/>
            <w:left w:w="108" w:type="dxa"/>
            <w:bottom w:w="0" w:type="dxa"/>
            <w:right w:w="108" w:type="dxa"/>
          </w:tblCellMar>
        </w:tblPrEx>
        <w:trPr>
          <w:trHeight w:val="600"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B4</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擅自更改学生成绩的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Ⅰ</w:t>
            </w:r>
          </w:p>
        </w:tc>
      </w:tr>
      <w:tr>
        <w:tblPrEx>
          <w:tblLayout w:type="fixed"/>
          <w:tblCellMar>
            <w:top w:w="0" w:type="dxa"/>
            <w:left w:w="108" w:type="dxa"/>
            <w:bottom w:w="0" w:type="dxa"/>
            <w:right w:w="108" w:type="dxa"/>
          </w:tblCellMar>
        </w:tblPrEx>
        <w:trPr>
          <w:trHeight w:val="840" w:hRule="atLeast"/>
          <w:jc w:val="center"/>
        </w:trPr>
        <w:tc>
          <w:tcPr>
            <w:tcW w:w="748" w:type="dxa"/>
            <w:vMerge w:val="restart"/>
            <w:tcBorders>
              <w:top w:val="nil"/>
              <w:left w:val="single" w:color="auto" w:sz="4" w:space="0"/>
              <w:bottom w:val="single" w:color="000000"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B5</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误判、漏判、成绩登录错误试卷份数超过</w:t>
            </w:r>
            <w:r>
              <w:rPr>
                <w:rFonts w:hAnsi="仿宋"/>
                <w:color w:val="000000"/>
                <w:sz w:val="24"/>
                <w:szCs w:val="24"/>
              </w:rPr>
              <w:t>3</w:t>
            </w:r>
            <w:r>
              <w:rPr>
                <w:rFonts w:hint="eastAsia" w:hAnsi="仿宋"/>
                <w:color w:val="000000"/>
                <w:sz w:val="24"/>
                <w:szCs w:val="24"/>
              </w:rPr>
              <w:t>份（班级人数</w:t>
            </w:r>
            <w:r>
              <w:rPr>
                <w:rFonts w:hAnsi="仿宋"/>
                <w:color w:val="000000"/>
                <w:sz w:val="24"/>
                <w:szCs w:val="24"/>
              </w:rPr>
              <w:t>50</w:t>
            </w:r>
            <w:r>
              <w:rPr>
                <w:rFonts w:hint="eastAsia" w:hAnsi="仿宋"/>
                <w:color w:val="000000"/>
                <w:sz w:val="24"/>
                <w:szCs w:val="24"/>
              </w:rPr>
              <w:t>人及以下的）或试卷总数的</w:t>
            </w:r>
            <w:r>
              <w:rPr>
                <w:rFonts w:hAnsi="仿宋"/>
                <w:color w:val="000000"/>
                <w:sz w:val="24"/>
                <w:szCs w:val="24"/>
              </w:rPr>
              <w:t>6%</w:t>
            </w:r>
            <w:r>
              <w:rPr>
                <w:rFonts w:hint="eastAsia" w:hAnsi="仿宋"/>
                <w:color w:val="000000"/>
                <w:sz w:val="24"/>
                <w:szCs w:val="24"/>
              </w:rPr>
              <w:t>（班级人数</w:t>
            </w:r>
            <w:r>
              <w:rPr>
                <w:rFonts w:hAnsi="仿宋"/>
                <w:color w:val="000000"/>
                <w:sz w:val="24"/>
                <w:szCs w:val="24"/>
              </w:rPr>
              <w:t>50</w:t>
            </w:r>
            <w:r>
              <w:rPr>
                <w:rFonts w:hint="eastAsia" w:hAnsi="仿宋"/>
                <w:color w:val="000000"/>
                <w:sz w:val="24"/>
                <w:szCs w:val="24"/>
              </w:rPr>
              <w:t>人以上），且未及时纠正的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Ⅱ</w:t>
            </w:r>
          </w:p>
        </w:tc>
      </w:tr>
      <w:tr>
        <w:tblPrEx>
          <w:tblLayout w:type="fixed"/>
          <w:tblCellMar>
            <w:top w:w="0" w:type="dxa"/>
            <w:left w:w="108" w:type="dxa"/>
            <w:bottom w:w="0" w:type="dxa"/>
            <w:right w:w="108" w:type="dxa"/>
          </w:tblCellMar>
        </w:tblPrEx>
        <w:trPr>
          <w:trHeight w:val="780" w:hRule="atLeast"/>
          <w:jc w:val="center"/>
        </w:trPr>
        <w:tc>
          <w:tcPr>
            <w:tcW w:w="748" w:type="dxa"/>
            <w:vMerge w:val="continue"/>
            <w:tcBorders>
              <w:top w:val="nil"/>
              <w:left w:val="single" w:color="auto" w:sz="4" w:space="0"/>
              <w:bottom w:val="single" w:color="000000"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误判、漏判、成绩登录错误试卷份数不超过</w:t>
            </w:r>
            <w:r>
              <w:rPr>
                <w:rFonts w:hAnsi="仿宋"/>
                <w:color w:val="000000"/>
                <w:sz w:val="24"/>
                <w:szCs w:val="24"/>
              </w:rPr>
              <w:t>3</w:t>
            </w:r>
            <w:r>
              <w:rPr>
                <w:rFonts w:hint="eastAsia" w:hAnsi="仿宋"/>
                <w:color w:val="000000"/>
                <w:sz w:val="24"/>
                <w:szCs w:val="24"/>
              </w:rPr>
              <w:t>份（班级人数</w:t>
            </w:r>
            <w:r>
              <w:rPr>
                <w:rFonts w:hAnsi="仿宋"/>
                <w:color w:val="000000"/>
                <w:sz w:val="24"/>
                <w:szCs w:val="24"/>
              </w:rPr>
              <w:t>50</w:t>
            </w:r>
            <w:r>
              <w:rPr>
                <w:rFonts w:hint="eastAsia" w:hAnsi="仿宋"/>
                <w:color w:val="000000"/>
                <w:sz w:val="24"/>
                <w:szCs w:val="24"/>
              </w:rPr>
              <w:t>人及以下的）或试卷总数的</w:t>
            </w:r>
            <w:r>
              <w:rPr>
                <w:rFonts w:hAnsi="仿宋"/>
                <w:color w:val="000000"/>
                <w:sz w:val="24"/>
                <w:szCs w:val="24"/>
              </w:rPr>
              <w:t>6%</w:t>
            </w:r>
            <w:r>
              <w:rPr>
                <w:rFonts w:hint="eastAsia" w:hAnsi="仿宋"/>
                <w:color w:val="000000"/>
                <w:sz w:val="24"/>
                <w:szCs w:val="24"/>
              </w:rPr>
              <w:t>（班级人数</w:t>
            </w:r>
            <w:r>
              <w:rPr>
                <w:rFonts w:hAnsi="仿宋"/>
                <w:color w:val="000000"/>
                <w:sz w:val="24"/>
                <w:szCs w:val="24"/>
              </w:rPr>
              <w:t>50</w:t>
            </w:r>
            <w:r>
              <w:rPr>
                <w:rFonts w:hint="eastAsia" w:hAnsi="仿宋"/>
                <w:color w:val="000000"/>
                <w:sz w:val="24"/>
                <w:szCs w:val="24"/>
              </w:rPr>
              <w:t>人以上），且未及时纠正的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Ⅲ</w:t>
            </w:r>
          </w:p>
        </w:tc>
      </w:tr>
      <w:tr>
        <w:tblPrEx>
          <w:tblLayout w:type="fixed"/>
          <w:tblCellMar>
            <w:top w:w="0" w:type="dxa"/>
            <w:left w:w="108" w:type="dxa"/>
            <w:bottom w:w="0" w:type="dxa"/>
            <w:right w:w="108" w:type="dxa"/>
          </w:tblCellMar>
        </w:tblPrEx>
        <w:trPr>
          <w:trHeight w:val="735" w:hRule="atLeast"/>
          <w:jc w:val="center"/>
        </w:trPr>
        <w:tc>
          <w:tcPr>
            <w:tcW w:w="748" w:type="dxa"/>
            <w:tcBorders>
              <w:top w:val="nil"/>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B6</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因非不可抗力原因，未按时提交考试成绩、成绩分析报告及教学日历等教学档案的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Ⅲ</w:t>
            </w:r>
          </w:p>
        </w:tc>
      </w:tr>
      <w:tr>
        <w:tblPrEx>
          <w:tblLayout w:type="fixed"/>
          <w:tblCellMar>
            <w:top w:w="0" w:type="dxa"/>
            <w:left w:w="108" w:type="dxa"/>
            <w:bottom w:w="0" w:type="dxa"/>
            <w:right w:w="108" w:type="dxa"/>
          </w:tblCellMar>
        </w:tblPrEx>
        <w:trPr>
          <w:trHeight w:val="600" w:hRule="atLeast"/>
          <w:jc w:val="center"/>
        </w:trPr>
        <w:tc>
          <w:tcPr>
            <w:tcW w:w="748" w:type="dxa"/>
            <w:vMerge w:val="restart"/>
            <w:tcBorders>
              <w:top w:val="nil"/>
              <w:left w:val="single" w:color="auto" w:sz="4" w:space="0"/>
              <w:bottom w:val="nil"/>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B7</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非不可抗力原因考试迟到或擅自离开监考岗位＞</w:t>
            </w:r>
            <w:r>
              <w:rPr>
                <w:rFonts w:hAnsi="仿宋"/>
                <w:color w:val="000000"/>
                <w:sz w:val="24"/>
                <w:szCs w:val="24"/>
              </w:rPr>
              <w:t>5</w:t>
            </w:r>
            <w:r>
              <w:rPr>
                <w:rFonts w:hint="eastAsia" w:hAnsi="仿宋"/>
                <w:color w:val="000000"/>
                <w:sz w:val="24"/>
                <w:szCs w:val="24"/>
              </w:rPr>
              <w:t>分钟的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Ⅱ</w:t>
            </w:r>
          </w:p>
        </w:tc>
      </w:tr>
      <w:tr>
        <w:tblPrEx>
          <w:tblLayout w:type="fixed"/>
          <w:tblCellMar>
            <w:top w:w="0" w:type="dxa"/>
            <w:left w:w="108" w:type="dxa"/>
            <w:bottom w:w="0" w:type="dxa"/>
            <w:right w:w="108" w:type="dxa"/>
          </w:tblCellMar>
        </w:tblPrEx>
        <w:trPr>
          <w:trHeight w:val="600" w:hRule="atLeast"/>
          <w:jc w:val="center"/>
        </w:trPr>
        <w:tc>
          <w:tcPr>
            <w:tcW w:w="748" w:type="dxa"/>
            <w:vMerge w:val="continue"/>
            <w:tcBorders>
              <w:top w:val="nil"/>
              <w:left w:val="single" w:color="auto" w:sz="4" w:space="0"/>
              <w:bottom w:val="nil"/>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非不可抗力原因监考迟到或擅自离开监考岗位≤</w:t>
            </w:r>
            <w:r>
              <w:rPr>
                <w:rFonts w:hAnsi="仿宋"/>
                <w:color w:val="000000"/>
                <w:sz w:val="24"/>
                <w:szCs w:val="24"/>
              </w:rPr>
              <w:t>5</w:t>
            </w:r>
            <w:r>
              <w:rPr>
                <w:rFonts w:hint="eastAsia" w:hAnsi="仿宋"/>
                <w:color w:val="000000"/>
                <w:sz w:val="24"/>
                <w:szCs w:val="24"/>
              </w:rPr>
              <w:t>分钟的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Ⅲ</w:t>
            </w:r>
          </w:p>
        </w:tc>
      </w:tr>
      <w:tr>
        <w:tblPrEx>
          <w:tblLayout w:type="fixed"/>
          <w:tblCellMar>
            <w:top w:w="0" w:type="dxa"/>
            <w:left w:w="108" w:type="dxa"/>
            <w:bottom w:w="0" w:type="dxa"/>
            <w:right w:w="108" w:type="dxa"/>
          </w:tblCellMar>
        </w:tblPrEx>
        <w:trPr>
          <w:trHeight w:val="600"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B8</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监考人员擅自将自己的监考任务委托别人的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Ⅲ</w:t>
            </w:r>
          </w:p>
        </w:tc>
      </w:tr>
      <w:tr>
        <w:tblPrEx>
          <w:tblLayout w:type="fixed"/>
          <w:tblCellMar>
            <w:top w:w="0" w:type="dxa"/>
            <w:left w:w="108" w:type="dxa"/>
            <w:bottom w:w="0" w:type="dxa"/>
            <w:right w:w="108" w:type="dxa"/>
          </w:tblCellMar>
        </w:tblPrEx>
        <w:trPr>
          <w:trHeight w:val="600" w:hRule="atLeast"/>
          <w:jc w:val="center"/>
        </w:trPr>
        <w:tc>
          <w:tcPr>
            <w:tcW w:w="748" w:type="dxa"/>
            <w:vMerge w:val="restart"/>
            <w:tcBorders>
              <w:top w:val="nil"/>
              <w:left w:val="single" w:color="auto" w:sz="4" w:space="0"/>
              <w:bottom w:val="nil"/>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B9</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怂恿、参与学生考试作弊的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Ⅰ</w:t>
            </w:r>
          </w:p>
        </w:tc>
      </w:tr>
      <w:tr>
        <w:tblPrEx>
          <w:tblLayout w:type="fixed"/>
          <w:tblCellMar>
            <w:top w:w="0" w:type="dxa"/>
            <w:left w:w="108" w:type="dxa"/>
            <w:bottom w:w="0" w:type="dxa"/>
            <w:right w:w="108" w:type="dxa"/>
          </w:tblCellMar>
        </w:tblPrEx>
        <w:trPr>
          <w:trHeight w:val="600" w:hRule="atLeast"/>
          <w:jc w:val="center"/>
        </w:trPr>
        <w:tc>
          <w:tcPr>
            <w:tcW w:w="748" w:type="dxa"/>
            <w:vMerge w:val="continue"/>
            <w:tcBorders>
              <w:top w:val="nil"/>
              <w:left w:val="single" w:color="auto" w:sz="4" w:space="0"/>
              <w:bottom w:val="nil"/>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包庇违反考试纪律学生的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Ⅱ</w:t>
            </w:r>
          </w:p>
        </w:tc>
      </w:tr>
      <w:tr>
        <w:tblPrEx>
          <w:tblLayout w:type="fixed"/>
          <w:tblCellMar>
            <w:top w:w="0" w:type="dxa"/>
            <w:left w:w="108" w:type="dxa"/>
            <w:bottom w:w="0" w:type="dxa"/>
            <w:right w:w="108" w:type="dxa"/>
          </w:tblCellMar>
        </w:tblPrEx>
        <w:trPr>
          <w:trHeight w:val="600" w:hRule="atLeast"/>
          <w:jc w:val="center"/>
        </w:trPr>
        <w:tc>
          <w:tcPr>
            <w:tcW w:w="748" w:type="dxa"/>
            <w:vMerge w:val="continue"/>
            <w:tcBorders>
              <w:top w:val="nil"/>
              <w:left w:val="single" w:color="auto" w:sz="4" w:space="0"/>
              <w:bottom w:val="nil"/>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发现学生考试作弊未及时纠正的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Ⅲ</w:t>
            </w:r>
          </w:p>
        </w:tc>
      </w:tr>
      <w:tr>
        <w:tblPrEx>
          <w:tblLayout w:type="fixed"/>
          <w:tblCellMar>
            <w:top w:w="0" w:type="dxa"/>
            <w:left w:w="108" w:type="dxa"/>
            <w:bottom w:w="0" w:type="dxa"/>
            <w:right w:w="108" w:type="dxa"/>
          </w:tblCellMar>
        </w:tblPrEx>
        <w:trPr>
          <w:trHeight w:val="600"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B10</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监考人员实际收回的试卷与应收回的试卷不符的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Ⅱ</w:t>
            </w:r>
          </w:p>
        </w:tc>
      </w:tr>
      <w:tr>
        <w:tblPrEx>
          <w:tblLayout w:type="fixed"/>
          <w:tblCellMar>
            <w:top w:w="0" w:type="dxa"/>
            <w:left w:w="108" w:type="dxa"/>
            <w:bottom w:w="0" w:type="dxa"/>
            <w:right w:w="108" w:type="dxa"/>
          </w:tblCellMar>
        </w:tblPrEx>
        <w:trPr>
          <w:trHeight w:val="600" w:hRule="atLeast"/>
          <w:jc w:val="center"/>
        </w:trPr>
        <w:tc>
          <w:tcPr>
            <w:tcW w:w="748" w:type="dxa"/>
            <w:tcBorders>
              <w:top w:val="nil"/>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B11</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监考过程中使用通讯工具的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Ⅲ</w:t>
            </w:r>
          </w:p>
        </w:tc>
      </w:tr>
      <w:tr>
        <w:tblPrEx>
          <w:tblLayout w:type="fixed"/>
          <w:tblCellMar>
            <w:top w:w="0" w:type="dxa"/>
            <w:left w:w="108" w:type="dxa"/>
            <w:bottom w:w="0" w:type="dxa"/>
            <w:right w:w="108" w:type="dxa"/>
          </w:tblCellMar>
        </w:tblPrEx>
        <w:trPr>
          <w:trHeight w:val="600" w:hRule="atLeast"/>
          <w:jc w:val="center"/>
        </w:trPr>
        <w:tc>
          <w:tcPr>
            <w:tcW w:w="748" w:type="dxa"/>
            <w:tcBorders>
              <w:top w:val="nil"/>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B12</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试卷及其他有关工作未准备充分，致使考试无法进行的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Ⅰ</w:t>
            </w:r>
          </w:p>
        </w:tc>
      </w:tr>
      <w:tr>
        <w:tblPrEx>
          <w:tblLayout w:type="fixed"/>
          <w:tblCellMar>
            <w:top w:w="0" w:type="dxa"/>
            <w:left w:w="108" w:type="dxa"/>
            <w:bottom w:w="0" w:type="dxa"/>
            <w:right w:w="108" w:type="dxa"/>
          </w:tblCellMar>
        </w:tblPrEx>
        <w:trPr>
          <w:trHeight w:val="600" w:hRule="atLeast"/>
          <w:jc w:val="center"/>
        </w:trPr>
        <w:tc>
          <w:tcPr>
            <w:tcW w:w="748" w:type="dxa"/>
            <w:tcBorders>
              <w:top w:val="nil"/>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C1</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擅自未安排</w:t>
            </w:r>
            <w:r>
              <w:rPr>
                <w:rFonts w:hAnsi="仿宋"/>
                <w:color w:val="000000"/>
                <w:sz w:val="24"/>
                <w:szCs w:val="24"/>
              </w:rPr>
              <w:t>1</w:t>
            </w:r>
            <w:r>
              <w:rPr>
                <w:rFonts w:hint="eastAsia" w:hAnsi="仿宋"/>
                <w:color w:val="000000"/>
                <w:sz w:val="24"/>
                <w:szCs w:val="24"/>
              </w:rPr>
              <w:t>门课程，导致学生不能正常修读课程的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Ⅲ</w:t>
            </w:r>
          </w:p>
        </w:tc>
      </w:tr>
      <w:tr>
        <w:tblPrEx>
          <w:tblLayout w:type="fixed"/>
          <w:tblCellMar>
            <w:top w:w="0" w:type="dxa"/>
            <w:left w:w="108" w:type="dxa"/>
            <w:bottom w:w="0" w:type="dxa"/>
            <w:right w:w="108" w:type="dxa"/>
          </w:tblCellMar>
        </w:tblPrEx>
        <w:trPr>
          <w:trHeight w:val="600" w:hRule="atLeast"/>
          <w:jc w:val="center"/>
        </w:trPr>
        <w:tc>
          <w:tcPr>
            <w:tcW w:w="748" w:type="dxa"/>
            <w:tcBorders>
              <w:top w:val="nil"/>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C2</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擅自临时变更培养方案，影响正常教学运行，造成不良影响的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Ⅲ</w:t>
            </w:r>
          </w:p>
        </w:tc>
      </w:tr>
      <w:tr>
        <w:tblPrEx>
          <w:tblLayout w:type="fixed"/>
          <w:tblCellMar>
            <w:top w:w="0" w:type="dxa"/>
            <w:left w:w="108" w:type="dxa"/>
            <w:bottom w:w="0" w:type="dxa"/>
            <w:right w:w="108" w:type="dxa"/>
          </w:tblCellMar>
        </w:tblPrEx>
        <w:trPr>
          <w:trHeight w:val="600" w:hRule="atLeast"/>
          <w:jc w:val="center"/>
        </w:trPr>
        <w:tc>
          <w:tcPr>
            <w:tcW w:w="748" w:type="dxa"/>
            <w:tcBorders>
              <w:top w:val="nil"/>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C3</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漏排课程计划规定的课程，影响学生正常毕业的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Ⅰ</w:t>
            </w:r>
          </w:p>
        </w:tc>
      </w:tr>
      <w:tr>
        <w:tblPrEx>
          <w:tblLayout w:type="fixed"/>
          <w:tblCellMar>
            <w:top w:w="0" w:type="dxa"/>
            <w:left w:w="108" w:type="dxa"/>
            <w:bottom w:w="0" w:type="dxa"/>
            <w:right w:w="108" w:type="dxa"/>
          </w:tblCellMar>
        </w:tblPrEx>
        <w:trPr>
          <w:trHeight w:val="600" w:hRule="atLeast"/>
          <w:jc w:val="center"/>
        </w:trPr>
        <w:tc>
          <w:tcPr>
            <w:tcW w:w="748" w:type="dxa"/>
            <w:tcBorders>
              <w:top w:val="nil"/>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C4</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排课不当造成教室冲突，延误上课</w:t>
            </w:r>
            <w:r>
              <w:rPr>
                <w:rFonts w:hAnsi="仿宋"/>
                <w:color w:val="000000"/>
                <w:sz w:val="24"/>
                <w:szCs w:val="24"/>
              </w:rPr>
              <w:t>10</w:t>
            </w:r>
            <w:r>
              <w:rPr>
                <w:rFonts w:hint="eastAsia" w:hAnsi="仿宋"/>
                <w:color w:val="000000"/>
                <w:sz w:val="24"/>
                <w:szCs w:val="24"/>
              </w:rPr>
              <w:t>分钟以内的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Ⅲ</w:t>
            </w:r>
          </w:p>
        </w:tc>
      </w:tr>
      <w:tr>
        <w:tblPrEx>
          <w:tblLayout w:type="fixed"/>
          <w:tblCellMar>
            <w:top w:w="0" w:type="dxa"/>
            <w:left w:w="108" w:type="dxa"/>
            <w:bottom w:w="0" w:type="dxa"/>
            <w:right w:w="108" w:type="dxa"/>
          </w:tblCellMar>
        </w:tblPrEx>
        <w:trPr>
          <w:trHeight w:val="750" w:hRule="atLeast"/>
          <w:jc w:val="center"/>
        </w:trPr>
        <w:tc>
          <w:tcPr>
            <w:tcW w:w="748" w:type="dxa"/>
            <w:tcBorders>
              <w:top w:val="nil"/>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C5</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排考不当，造成监考人员未到场；</w:t>
            </w:r>
            <w:r>
              <w:rPr>
                <w:rFonts w:hAnsi="仿宋"/>
                <w:color w:val="000000"/>
                <w:sz w:val="24"/>
                <w:szCs w:val="24"/>
              </w:rPr>
              <w:t xml:space="preserve"> </w:t>
            </w:r>
            <w:r>
              <w:rPr>
                <w:rFonts w:hint="eastAsia" w:hAnsi="仿宋"/>
                <w:color w:val="000000"/>
                <w:sz w:val="24"/>
                <w:szCs w:val="24"/>
              </w:rPr>
              <w:t>或延误考试</w:t>
            </w:r>
            <w:r>
              <w:rPr>
                <w:rFonts w:hAnsi="仿宋"/>
                <w:color w:val="000000"/>
                <w:sz w:val="24"/>
                <w:szCs w:val="24"/>
              </w:rPr>
              <w:t>10</w:t>
            </w:r>
            <w:r>
              <w:rPr>
                <w:rFonts w:hint="eastAsia" w:hAnsi="仿宋"/>
                <w:color w:val="000000"/>
                <w:sz w:val="24"/>
                <w:szCs w:val="24"/>
              </w:rPr>
              <w:t>分钟以内；或考场密度过大，存在舞弊隐患的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Ⅲ</w:t>
            </w:r>
          </w:p>
        </w:tc>
      </w:tr>
      <w:tr>
        <w:tblPrEx>
          <w:tblLayout w:type="fixed"/>
          <w:tblCellMar>
            <w:top w:w="0" w:type="dxa"/>
            <w:left w:w="108" w:type="dxa"/>
            <w:bottom w:w="0" w:type="dxa"/>
            <w:right w:w="108" w:type="dxa"/>
          </w:tblCellMar>
        </w:tblPrEx>
        <w:trPr>
          <w:trHeight w:val="600" w:hRule="atLeast"/>
          <w:jc w:val="center"/>
        </w:trPr>
        <w:tc>
          <w:tcPr>
            <w:tcW w:w="748" w:type="dxa"/>
            <w:tcBorders>
              <w:top w:val="nil"/>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C6</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开课单位未及时报送课程相关的信息，影响正常教学运行，造成不良影响的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Ⅲ</w:t>
            </w:r>
          </w:p>
        </w:tc>
      </w:tr>
      <w:tr>
        <w:tblPrEx>
          <w:tblLayout w:type="fixed"/>
          <w:tblCellMar>
            <w:top w:w="0" w:type="dxa"/>
            <w:left w:w="108" w:type="dxa"/>
            <w:bottom w:w="0" w:type="dxa"/>
            <w:right w:w="108" w:type="dxa"/>
          </w:tblCellMar>
        </w:tblPrEx>
        <w:trPr>
          <w:trHeight w:val="600" w:hRule="atLeast"/>
          <w:jc w:val="center"/>
        </w:trPr>
        <w:tc>
          <w:tcPr>
            <w:tcW w:w="748" w:type="dxa"/>
            <w:tcBorders>
              <w:top w:val="nil"/>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C7</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未及时通知上课变更信息，致使空堂</w:t>
            </w:r>
            <w:r>
              <w:rPr>
                <w:rFonts w:hAnsi="仿宋"/>
                <w:color w:val="000000"/>
                <w:sz w:val="24"/>
                <w:szCs w:val="24"/>
              </w:rPr>
              <w:t>10</w:t>
            </w:r>
            <w:r>
              <w:rPr>
                <w:rFonts w:hint="eastAsia" w:hAnsi="仿宋"/>
                <w:color w:val="000000"/>
                <w:sz w:val="24"/>
                <w:szCs w:val="24"/>
              </w:rPr>
              <w:t>分钟以内的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Ⅲ</w:t>
            </w:r>
          </w:p>
        </w:tc>
      </w:tr>
      <w:tr>
        <w:tblPrEx>
          <w:tblLayout w:type="fixed"/>
          <w:tblCellMar>
            <w:top w:w="0" w:type="dxa"/>
            <w:left w:w="108" w:type="dxa"/>
            <w:bottom w:w="0" w:type="dxa"/>
            <w:right w:w="108" w:type="dxa"/>
          </w:tblCellMar>
        </w:tblPrEx>
        <w:trPr>
          <w:trHeight w:val="600" w:hRule="atLeast"/>
          <w:jc w:val="center"/>
        </w:trPr>
        <w:tc>
          <w:tcPr>
            <w:tcW w:w="748" w:type="dxa"/>
            <w:tcBorders>
              <w:top w:val="nil"/>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C8</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失职造成一学期</w:t>
            </w:r>
            <w:r>
              <w:rPr>
                <w:rFonts w:hAnsi="仿宋"/>
                <w:color w:val="000000"/>
                <w:sz w:val="24"/>
                <w:szCs w:val="24"/>
              </w:rPr>
              <w:t>3</w:t>
            </w:r>
            <w:r>
              <w:rPr>
                <w:rFonts w:hint="eastAsia" w:hAnsi="仿宋"/>
                <w:color w:val="000000"/>
                <w:sz w:val="24"/>
                <w:szCs w:val="24"/>
              </w:rPr>
              <w:t>门以上（含）课程未能征订教材的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Ⅲ</w:t>
            </w:r>
          </w:p>
        </w:tc>
      </w:tr>
      <w:tr>
        <w:tblPrEx>
          <w:tblLayout w:type="fixed"/>
          <w:tblCellMar>
            <w:top w:w="0" w:type="dxa"/>
            <w:left w:w="108" w:type="dxa"/>
            <w:bottom w:w="0" w:type="dxa"/>
            <w:right w:w="108" w:type="dxa"/>
          </w:tblCellMar>
        </w:tblPrEx>
        <w:trPr>
          <w:trHeight w:val="600" w:hRule="atLeast"/>
          <w:jc w:val="center"/>
        </w:trPr>
        <w:tc>
          <w:tcPr>
            <w:tcW w:w="748" w:type="dxa"/>
            <w:tcBorders>
              <w:top w:val="nil"/>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C9</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过失出具与事实不符的学历、学籍、成绩等各种证明、证书的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Ⅲ</w:t>
            </w:r>
          </w:p>
        </w:tc>
      </w:tr>
      <w:tr>
        <w:tblPrEx>
          <w:tblLayout w:type="fixed"/>
          <w:tblCellMar>
            <w:top w:w="0" w:type="dxa"/>
            <w:left w:w="108" w:type="dxa"/>
            <w:bottom w:w="0" w:type="dxa"/>
            <w:right w:w="108" w:type="dxa"/>
          </w:tblCellMar>
        </w:tblPrEx>
        <w:trPr>
          <w:trHeight w:val="600"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C10</w:t>
            </w:r>
          </w:p>
        </w:tc>
        <w:tc>
          <w:tcPr>
            <w:tcW w:w="7140" w:type="dxa"/>
            <w:tcBorders>
              <w:top w:val="single" w:color="auto" w:sz="4" w:space="0"/>
              <w:left w:val="nil"/>
              <w:bottom w:val="nil"/>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故意出具与事实不符的学历、学籍、成绩等各种证明、证书的</w:t>
            </w:r>
          </w:p>
        </w:tc>
        <w:tc>
          <w:tcPr>
            <w:tcW w:w="793" w:type="dxa"/>
            <w:tcBorders>
              <w:top w:val="single" w:color="auto" w:sz="4" w:space="0"/>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Ⅰ</w:t>
            </w:r>
          </w:p>
        </w:tc>
      </w:tr>
      <w:tr>
        <w:tblPrEx>
          <w:tblLayout w:type="fixed"/>
          <w:tblCellMar>
            <w:top w:w="0" w:type="dxa"/>
            <w:left w:w="108" w:type="dxa"/>
            <w:bottom w:w="0" w:type="dxa"/>
            <w:right w:w="108" w:type="dxa"/>
          </w:tblCellMar>
        </w:tblPrEx>
        <w:trPr>
          <w:trHeight w:val="600" w:hRule="atLeast"/>
          <w:jc w:val="center"/>
        </w:trPr>
        <w:tc>
          <w:tcPr>
            <w:tcW w:w="748" w:type="dxa"/>
            <w:tcBorders>
              <w:top w:val="nil"/>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C11</w:t>
            </w:r>
          </w:p>
        </w:tc>
        <w:tc>
          <w:tcPr>
            <w:tcW w:w="7140" w:type="dxa"/>
            <w:tcBorders>
              <w:top w:val="single" w:color="auto" w:sz="4" w:space="0"/>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失职导致学生考试成绩单、试卷、毕业论文（设计）、档案等管理材料丢失的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Ⅱ</w:t>
            </w:r>
          </w:p>
        </w:tc>
      </w:tr>
      <w:tr>
        <w:tblPrEx>
          <w:tblLayout w:type="fixed"/>
          <w:tblCellMar>
            <w:top w:w="0" w:type="dxa"/>
            <w:left w:w="108" w:type="dxa"/>
            <w:bottom w:w="0" w:type="dxa"/>
            <w:right w:w="108" w:type="dxa"/>
          </w:tblCellMar>
        </w:tblPrEx>
        <w:trPr>
          <w:trHeight w:val="600" w:hRule="atLeast"/>
          <w:jc w:val="center"/>
        </w:trPr>
        <w:tc>
          <w:tcPr>
            <w:tcW w:w="748" w:type="dxa"/>
            <w:vMerge w:val="restart"/>
            <w:tcBorders>
              <w:top w:val="nil"/>
              <w:left w:val="single" w:color="auto" w:sz="4" w:space="0"/>
              <w:bottom w:val="nil"/>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C12</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失职导致将学位证或毕业证发给不应发者的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Ⅰ</w:t>
            </w:r>
          </w:p>
        </w:tc>
      </w:tr>
      <w:tr>
        <w:tblPrEx>
          <w:tblLayout w:type="fixed"/>
          <w:tblCellMar>
            <w:top w:w="0" w:type="dxa"/>
            <w:left w:w="108" w:type="dxa"/>
            <w:bottom w:w="0" w:type="dxa"/>
            <w:right w:w="108" w:type="dxa"/>
          </w:tblCellMar>
        </w:tblPrEx>
        <w:trPr>
          <w:trHeight w:val="600" w:hRule="atLeast"/>
          <w:jc w:val="center"/>
        </w:trPr>
        <w:tc>
          <w:tcPr>
            <w:tcW w:w="748" w:type="dxa"/>
            <w:vMerge w:val="continue"/>
            <w:tcBorders>
              <w:top w:val="nil"/>
              <w:left w:val="single" w:color="auto" w:sz="4" w:space="0"/>
              <w:bottom w:val="nil"/>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失职导致学生学位证书或毕业证书漏发的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Ⅲ</w:t>
            </w:r>
          </w:p>
        </w:tc>
      </w:tr>
      <w:tr>
        <w:tblPrEx>
          <w:tblLayout w:type="fixed"/>
          <w:tblCellMar>
            <w:top w:w="0" w:type="dxa"/>
            <w:left w:w="108" w:type="dxa"/>
            <w:bottom w:w="0" w:type="dxa"/>
            <w:right w:w="108" w:type="dxa"/>
          </w:tblCellMar>
        </w:tblPrEx>
        <w:trPr>
          <w:trHeight w:val="600"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C13</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失职导致学生成绩单、试卷及其他重要教学文件损毁且无法恢复的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Ⅰ</w:t>
            </w:r>
          </w:p>
        </w:tc>
      </w:tr>
      <w:tr>
        <w:tblPrEx>
          <w:tblLayout w:type="fixed"/>
          <w:tblCellMar>
            <w:top w:w="0" w:type="dxa"/>
            <w:left w:w="108" w:type="dxa"/>
            <w:bottom w:w="0" w:type="dxa"/>
            <w:right w:w="108" w:type="dxa"/>
          </w:tblCellMar>
        </w:tblPrEx>
        <w:trPr>
          <w:trHeight w:val="600" w:hRule="atLeast"/>
          <w:jc w:val="center"/>
        </w:trPr>
        <w:tc>
          <w:tcPr>
            <w:tcW w:w="748" w:type="dxa"/>
            <w:tcBorders>
              <w:top w:val="nil"/>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D1</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教室、实验室等开门不及时，导致教学或考试延误</w:t>
            </w:r>
            <w:r>
              <w:rPr>
                <w:rFonts w:hAnsi="仿宋"/>
                <w:color w:val="000000"/>
                <w:sz w:val="24"/>
                <w:szCs w:val="24"/>
              </w:rPr>
              <w:t>10</w:t>
            </w:r>
            <w:r>
              <w:rPr>
                <w:rFonts w:hint="eastAsia" w:hAnsi="仿宋"/>
                <w:color w:val="000000"/>
                <w:sz w:val="24"/>
                <w:szCs w:val="24"/>
              </w:rPr>
              <w:t>分钟以内的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Ⅲ</w:t>
            </w:r>
          </w:p>
        </w:tc>
      </w:tr>
      <w:tr>
        <w:tblPrEx>
          <w:tblLayout w:type="fixed"/>
          <w:tblCellMar>
            <w:top w:w="0" w:type="dxa"/>
            <w:left w:w="108" w:type="dxa"/>
            <w:bottom w:w="0" w:type="dxa"/>
            <w:right w:w="108" w:type="dxa"/>
          </w:tblCellMar>
        </w:tblPrEx>
        <w:trPr>
          <w:trHeight w:val="690" w:hRule="atLeast"/>
          <w:jc w:val="center"/>
        </w:trPr>
        <w:tc>
          <w:tcPr>
            <w:tcW w:w="748" w:type="dxa"/>
            <w:tcBorders>
              <w:top w:val="nil"/>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D2</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擅自使用、出借教室或其他教学设施而影响正常教学的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Ⅱ</w:t>
            </w:r>
          </w:p>
        </w:tc>
      </w:tr>
      <w:tr>
        <w:tblPrEx>
          <w:tblLayout w:type="fixed"/>
          <w:tblCellMar>
            <w:top w:w="0" w:type="dxa"/>
            <w:left w:w="108" w:type="dxa"/>
            <w:bottom w:w="0" w:type="dxa"/>
            <w:right w:w="108" w:type="dxa"/>
          </w:tblCellMar>
        </w:tblPrEx>
        <w:trPr>
          <w:trHeight w:val="645" w:hRule="atLeast"/>
          <w:jc w:val="center"/>
        </w:trPr>
        <w:tc>
          <w:tcPr>
            <w:tcW w:w="748" w:type="dxa"/>
            <w:tcBorders>
              <w:top w:val="nil"/>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D3</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highlight w:val="none"/>
              </w:rPr>
              <w:t>多媒体设备准备、维修、维护不及时，影响教学效果，学生反映强烈，造成不良影响的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Ⅲ</w:t>
            </w:r>
          </w:p>
        </w:tc>
      </w:tr>
      <w:tr>
        <w:tblPrEx>
          <w:tblLayout w:type="fixed"/>
          <w:tblCellMar>
            <w:top w:w="0" w:type="dxa"/>
            <w:left w:w="108" w:type="dxa"/>
            <w:bottom w:w="0" w:type="dxa"/>
            <w:right w:w="108" w:type="dxa"/>
          </w:tblCellMar>
        </w:tblPrEx>
        <w:trPr>
          <w:trHeight w:val="600" w:hRule="atLeast"/>
          <w:jc w:val="center"/>
        </w:trPr>
        <w:tc>
          <w:tcPr>
            <w:tcW w:w="748" w:type="dxa"/>
            <w:tcBorders>
              <w:top w:val="nil"/>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D4</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highlight w:val="yellow"/>
              </w:rPr>
            </w:pPr>
            <w:r>
              <w:rPr>
                <w:rFonts w:hint="eastAsia" w:hAnsi="仿宋"/>
                <w:color w:val="000000"/>
                <w:sz w:val="24"/>
                <w:szCs w:val="24"/>
                <w:highlight w:val="none"/>
              </w:rPr>
              <w:t>已知教学设施损坏，但未</w:t>
            </w:r>
            <w:r>
              <w:rPr>
                <w:rFonts w:hint="eastAsia" w:hAnsi="仿宋"/>
                <w:color w:val="000000" w:themeColor="text1"/>
                <w:sz w:val="24"/>
                <w:szCs w:val="24"/>
                <w:highlight w:val="none"/>
                <w:lang w:eastAsia="zh-CN"/>
              </w:rPr>
              <w:t>及时</w:t>
            </w:r>
            <w:r>
              <w:rPr>
                <w:rFonts w:hint="eastAsia" w:hAnsi="仿宋"/>
                <w:color w:val="000000" w:themeColor="text1"/>
                <w:sz w:val="24"/>
                <w:szCs w:val="24"/>
                <w:highlight w:val="none"/>
              </w:rPr>
              <w:t>修</w:t>
            </w:r>
            <w:r>
              <w:rPr>
                <w:rFonts w:hint="eastAsia" w:hAnsi="仿宋"/>
                <w:color w:val="000000"/>
                <w:sz w:val="24"/>
                <w:szCs w:val="24"/>
                <w:highlight w:val="none"/>
              </w:rPr>
              <w:t>缮，导致停课一天及以上的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Ⅱ</w:t>
            </w:r>
          </w:p>
        </w:tc>
      </w:tr>
      <w:tr>
        <w:tblPrEx>
          <w:tblLayout w:type="fixed"/>
          <w:tblCellMar>
            <w:top w:w="0" w:type="dxa"/>
            <w:left w:w="108" w:type="dxa"/>
            <w:bottom w:w="0" w:type="dxa"/>
            <w:right w:w="108" w:type="dxa"/>
          </w:tblCellMar>
        </w:tblPrEx>
        <w:trPr>
          <w:trHeight w:val="600" w:hRule="atLeast"/>
          <w:jc w:val="center"/>
        </w:trPr>
        <w:tc>
          <w:tcPr>
            <w:tcW w:w="748" w:type="dxa"/>
            <w:tcBorders>
              <w:top w:val="nil"/>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D5</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highlight w:val="none"/>
              </w:rPr>
              <w:t>采购伪劣教学用品，影响教学，师生反映强烈，造成严重后果的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Ⅱ</w:t>
            </w:r>
          </w:p>
        </w:tc>
      </w:tr>
      <w:tr>
        <w:tblPrEx>
          <w:tblLayout w:type="fixed"/>
          <w:tblCellMar>
            <w:top w:w="0" w:type="dxa"/>
            <w:left w:w="108" w:type="dxa"/>
            <w:bottom w:w="0" w:type="dxa"/>
            <w:right w:w="108" w:type="dxa"/>
          </w:tblCellMar>
        </w:tblPrEx>
        <w:trPr>
          <w:trHeight w:val="600" w:hRule="atLeast"/>
          <w:jc w:val="center"/>
        </w:trPr>
        <w:tc>
          <w:tcPr>
            <w:tcW w:w="748" w:type="dxa"/>
            <w:tcBorders>
              <w:top w:val="nil"/>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D6</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整个教学楼无粉笔或黑板擦供应的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Ⅱ</w:t>
            </w:r>
          </w:p>
        </w:tc>
      </w:tr>
      <w:tr>
        <w:tblPrEx>
          <w:tblLayout w:type="fixed"/>
          <w:tblCellMar>
            <w:top w:w="0" w:type="dxa"/>
            <w:left w:w="108" w:type="dxa"/>
            <w:bottom w:w="0" w:type="dxa"/>
            <w:right w:w="108" w:type="dxa"/>
          </w:tblCellMar>
        </w:tblPrEx>
        <w:trPr>
          <w:trHeight w:val="600" w:hRule="atLeast"/>
          <w:jc w:val="center"/>
        </w:trPr>
        <w:tc>
          <w:tcPr>
            <w:tcW w:w="748" w:type="dxa"/>
            <w:tcBorders>
              <w:top w:val="nil"/>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D7</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教室维护和清扫不及时，影响教学正常进行的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Ⅲ</w:t>
            </w:r>
          </w:p>
        </w:tc>
      </w:tr>
      <w:tr>
        <w:tblPrEx>
          <w:tblLayout w:type="fixed"/>
          <w:tblCellMar>
            <w:top w:w="0" w:type="dxa"/>
            <w:left w:w="108" w:type="dxa"/>
            <w:bottom w:w="0" w:type="dxa"/>
            <w:right w:w="108" w:type="dxa"/>
          </w:tblCellMar>
        </w:tblPrEx>
        <w:trPr>
          <w:trHeight w:val="600" w:hRule="atLeast"/>
          <w:jc w:val="center"/>
        </w:trPr>
        <w:tc>
          <w:tcPr>
            <w:tcW w:w="748" w:type="dxa"/>
            <w:tcBorders>
              <w:top w:val="nil"/>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D8</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失职造成财产重大损失，致使长期停课的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Ⅰ</w:t>
            </w:r>
          </w:p>
        </w:tc>
      </w:tr>
      <w:tr>
        <w:tblPrEx>
          <w:tblLayout w:type="fixed"/>
          <w:tblCellMar>
            <w:top w:w="0" w:type="dxa"/>
            <w:left w:w="108" w:type="dxa"/>
            <w:bottom w:w="0" w:type="dxa"/>
            <w:right w:w="108" w:type="dxa"/>
          </w:tblCellMar>
        </w:tblPrEx>
        <w:trPr>
          <w:trHeight w:val="600" w:hRule="atLeast"/>
          <w:jc w:val="center"/>
        </w:trPr>
        <w:tc>
          <w:tcPr>
            <w:tcW w:w="748" w:type="dxa"/>
            <w:tcBorders>
              <w:top w:val="nil"/>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D9</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失职引发火灾、水灾、中毒等事故造成人员伤亡，严重影响教学秩序的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Ⅰ</w:t>
            </w:r>
          </w:p>
        </w:tc>
      </w:tr>
      <w:tr>
        <w:tblPrEx>
          <w:tblLayout w:type="fixed"/>
          <w:tblCellMar>
            <w:top w:w="0" w:type="dxa"/>
            <w:left w:w="108" w:type="dxa"/>
            <w:bottom w:w="0" w:type="dxa"/>
            <w:right w:w="108" w:type="dxa"/>
          </w:tblCellMar>
        </w:tblPrEx>
        <w:trPr>
          <w:trHeight w:val="600" w:hRule="atLeast"/>
          <w:jc w:val="center"/>
        </w:trPr>
        <w:tc>
          <w:tcPr>
            <w:tcW w:w="748" w:type="dxa"/>
            <w:tcBorders>
              <w:top w:val="nil"/>
              <w:left w:val="single" w:color="auto" w:sz="4" w:space="0"/>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olor w:val="000000"/>
                <w:sz w:val="24"/>
                <w:szCs w:val="24"/>
              </w:rPr>
            </w:pPr>
            <w:r>
              <w:rPr>
                <w:rFonts w:hAnsi="仿宋"/>
                <w:color w:val="000000"/>
                <w:sz w:val="24"/>
                <w:szCs w:val="24"/>
              </w:rPr>
              <w:t>D10</w:t>
            </w:r>
          </w:p>
        </w:tc>
        <w:tc>
          <w:tcPr>
            <w:tcW w:w="7140"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both"/>
              <w:rPr>
                <w:rFonts w:hAnsi="仿宋" w:cs="Times New Roman"/>
                <w:color w:val="000000"/>
                <w:sz w:val="24"/>
                <w:szCs w:val="24"/>
              </w:rPr>
            </w:pPr>
            <w:r>
              <w:rPr>
                <w:rFonts w:hint="eastAsia" w:hAnsi="仿宋"/>
                <w:color w:val="000000"/>
                <w:sz w:val="24"/>
                <w:szCs w:val="24"/>
              </w:rPr>
              <w:t>失职造成停电、停水、停暖致使上课或实验中断</w:t>
            </w:r>
            <w:r>
              <w:rPr>
                <w:rFonts w:hAnsi="仿宋"/>
                <w:color w:val="000000"/>
                <w:sz w:val="24"/>
                <w:szCs w:val="24"/>
              </w:rPr>
              <w:t>30</w:t>
            </w:r>
            <w:r>
              <w:rPr>
                <w:rFonts w:hint="eastAsia" w:hAnsi="仿宋"/>
                <w:color w:val="000000"/>
                <w:sz w:val="24"/>
                <w:szCs w:val="24"/>
              </w:rPr>
              <w:t>分钟以上的</w:t>
            </w:r>
          </w:p>
        </w:tc>
        <w:tc>
          <w:tcPr>
            <w:tcW w:w="793" w:type="dxa"/>
            <w:tcBorders>
              <w:top w:val="nil"/>
              <w:left w:val="nil"/>
              <w:bottom w:val="single" w:color="auto" w:sz="4" w:space="0"/>
              <w:right w:val="single" w:color="auto" w:sz="4" w:space="0"/>
            </w:tcBorders>
            <w:vAlign w:val="center"/>
          </w:tcPr>
          <w:p>
            <w:pPr>
              <w:widowControl/>
              <w:adjustRightInd/>
              <w:snapToGrid/>
              <w:spacing w:before="100" w:beforeAutospacing="1" w:after="100" w:afterAutospacing="1" w:line="400" w:lineRule="exact"/>
              <w:ind w:firstLine="0" w:firstLineChars="0"/>
              <w:jc w:val="center"/>
              <w:rPr>
                <w:rFonts w:hAnsi="仿宋" w:cs="Times New Roman"/>
                <w:color w:val="000000"/>
                <w:sz w:val="24"/>
                <w:szCs w:val="24"/>
              </w:rPr>
            </w:pPr>
            <w:r>
              <w:rPr>
                <w:rFonts w:hint="eastAsia" w:hAnsi="仿宋"/>
                <w:color w:val="000000"/>
                <w:sz w:val="24"/>
                <w:szCs w:val="24"/>
              </w:rPr>
              <w:t>Ⅱ</w:t>
            </w:r>
          </w:p>
        </w:tc>
      </w:tr>
    </w:tbl>
    <w:p>
      <w:pPr>
        <w:ind w:firstLine="31680"/>
        <w:rPr>
          <w:rFonts w:hAnsi="仿宋" w:cs="Times New Roman"/>
        </w:rPr>
      </w:pPr>
      <w:r>
        <w:rPr>
          <w:rStyle w:val="22"/>
          <w:rFonts w:hint="eastAsia" w:ascii="仿宋" w:hAnsi="仿宋" w:eastAsia="仿宋" w:cs="仿宋"/>
          <w:b/>
          <w:bCs/>
          <w:snapToGrid/>
          <w:sz w:val="28"/>
          <w:szCs w:val="28"/>
        </w:rPr>
        <w:t>第四条</w:t>
      </w:r>
      <w:r>
        <w:rPr>
          <w:rFonts w:hAnsi="仿宋"/>
        </w:rPr>
        <w:t xml:space="preserve">  </w:t>
      </w:r>
      <w:r>
        <w:rPr>
          <w:rFonts w:hint="eastAsia" w:hAnsi="仿宋"/>
        </w:rPr>
        <w:t>教学事故发生后，事故责任者或知情人应及时向所在部门或教学质量监控与评估中心反映事故情况。</w:t>
      </w:r>
    </w:p>
    <w:p>
      <w:pPr>
        <w:ind w:firstLine="31680"/>
        <w:rPr>
          <w:rFonts w:hAnsi="仿宋" w:cs="Times New Roman"/>
        </w:rPr>
      </w:pPr>
      <w:r>
        <w:rPr>
          <w:rStyle w:val="22"/>
          <w:rFonts w:hint="eastAsia" w:ascii="仿宋" w:hAnsi="仿宋" w:eastAsia="仿宋" w:cs="仿宋"/>
          <w:b/>
          <w:bCs/>
          <w:snapToGrid/>
          <w:sz w:val="28"/>
          <w:szCs w:val="28"/>
        </w:rPr>
        <w:t>第五条</w:t>
      </w:r>
      <w:r>
        <w:rPr>
          <w:rFonts w:hAnsi="仿宋"/>
        </w:rPr>
        <w:t xml:space="preserve">  </w:t>
      </w:r>
      <w:r>
        <w:rPr>
          <w:rFonts w:hint="eastAsia" w:hAnsi="仿宋"/>
        </w:rPr>
        <w:t>教学质量监控与评估中心根据事故情况，责成事故责任部门调查取证，并会同教务处、实验室与设备管理处组成调查小组核实，形成报告。</w:t>
      </w:r>
    </w:p>
    <w:p>
      <w:pPr>
        <w:ind w:firstLine="31680"/>
        <w:rPr>
          <w:rFonts w:hAnsi="仿宋" w:cs="Times New Roman"/>
        </w:rPr>
      </w:pPr>
      <w:r>
        <w:rPr>
          <w:rStyle w:val="22"/>
          <w:rFonts w:hint="eastAsia" w:ascii="仿宋" w:hAnsi="仿宋" w:eastAsia="仿宋" w:cs="仿宋"/>
          <w:b/>
          <w:bCs/>
          <w:snapToGrid/>
          <w:sz w:val="28"/>
          <w:szCs w:val="28"/>
        </w:rPr>
        <w:t>第六条</w:t>
      </w:r>
      <w:r>
        <w:rPr>
          <w:rStyle w:val="22"/>
          <w:rFonts w:ascii="仿宋" w:hAnsi="仿宋" w:eastAsia="仿宋" w:cs="仿宋"/>
          <w:snapToGrid/>
          <w:sz w:val="28"/>
          <w:szCs w:val="28"/>
        </w:rPr>
        <w:t xml:space="preserve">  </w:t>
      </w:r>
      <w:r>
        <w:rPr>
          <w:rFonts w:hint="eastAsia" w:hAnsi="仿宋"/>
        </w:rPr>
        <w:t>教学事故调查材料应明确列出事故责任人（一人或多人），不得以部门、集体代替。负责人对本部门教学事故故意隐瞒，或教学检查人员对发现的事故拖延不报，应列为事故责任人范围。</w:t>
      </w:r>
    </w:p>
    <w:p>
      <w:pPr>
        <w:ind w:firstLine="31680"/>
        <w:rPr>
          <w:rFonts w:hAnsi="仿宋" w:cs="Times New Roman"/>
        </w:rPr>
      </w:pPr>
      <w:r>
        <w:rPr>
          <w:rStyle w:val="22"/>
          <w:rFonts w:hint="eastAsia" w:ascii="仿宋" w:hAnsi="仿宋" w:eastAsia="仿宋" w:cs="仿宋"/>
          <w:b/>
          <w:bCs/>
          <w:snapToGrid/>
          <w:sz w:val="28"/>
          <w:szCs w:val="28"/>
        </w:rPr>
        <w:t>第七条</w:t>
      </w:r>
      <w:r>
        <w:rPr>
          <w:rFonts w:hAnsi="仿宋"/>
        </w:rPr>
        <w:t xml:space="preserve">  </w:t>
      </w:r>
      <w:r>
        <w:rPr>
          <w:rFonts w:hint="eastAsia" w:hAnsi="仿宋"/>
        </w:rPr>
        <w:t>教学事故责任人，在一年内发生两次一般教学事故，按严重教学事故认定；在一年内发生三次一般教学事故，或一次一般教学事故和一次严重教学事故，或两次严重教学事故，按重大教学事故认定。</w:t>
      </w:r>
    </w:p>
    <w:p>
      <w:pPr>
        <w:ind w:firstLine="31680"/>
        <w:rPr>
          <w:rFonts w:hAnsi="仿宋" w:cs="Times New Roman"/>
          <w:snapToGrid w:val="0"/>
        </w:rPr>
      </w:pPr>
      <w:r>
        <w:rPr>
          <w:rStyle w:val="22"/>
          <w:rFonts w:hint="eastAsia" w:ascii="仿宋" w:hAnsi="仿宋" w:eastAsia="仿宋" w:cs="仿宋"/>
          <w:b/>
          <w:bCs/>
          <w:snapToGrid/>
          <w:sz w:val="28"/>
          <w:szCs w:val="28"/>
        </w:rPr>
        <w:t>第八条</w:t>
      </w:r>
      <w:r>
        <w:rPr>
          <w:rFonts w:hAnsi="仿宋"/>
        </w:rPr>
        <w:t xml:space="preserve">  </w:t>
      </w:r>
      <w:r>
        <w:rPr>
          <w:rFonts w:hint="eastAsia" w:hAnsi="仿宋"/>
        </w:rPr>
        <w:t>出现教学事故的部门须填写《延边大学本科教学事故认定处理表》（附件</w:t>
      </w:r>
      <w:r>
        <w:rPr>
          <w:rFonts w:hAnsi="仿宋"/>
        </w:rPr>
        <w:t>1</w:t>
      </w:r>
      <w:r>
        <w:rPr>
          <w:rFonts w:hint="eastAsia" w:hAnsi="仿宋"/>
        </w:rPr>
        <w:t>），</w:t>
      </w:r>
      <w:r>
        <w:rPr>
          <w:rFonts w:hint="eastAsia" w:hAnsi="仿宋"/>
          <w:snapToGrid w:val="0"/>
        </w:rPr>
        <w:t>一般教学事故</w:t>
      </w:r>
      <w:r>
        <w:rPr>
          <w:rFonts w:hint="eastAsia" w:hAnsi="仿宋"/>
        </w:rPr>
        <w:t>由教学事故责任人和部门负责人签字，责任部门提出处理意见，经教学质量监控与评估中心审核后，</w:t>
      </w:r>
      <w:r>
        <w:rPr>
          <w:rFonts w:hint="eastAsia" w:hAnsi="仿宋"/>
          <w:snapToGrid w:val="0"/>
        </w:rPr>
        <w:t>报</w:t>
      </w:r>
      <w:r>
        <w:rPr>
          <w:rFonts w:hint="eastAsia" w:hAnsi="仿宋"/>
        </w:rPr>
        <w:t>主管校长</w:t>
      </w:r>
      <w:r>
        <w:rPr>
          <w:rFonts w:hint="eastAsia" w:hAnsi="仿宋"/>
          <w:snapToGrid w:val="0"/>
        </w:rPr>
        <w:t>审批</w:t>
      </w:r>
      <w:r>
        <w:rPr>
          <w:rFonts w:hint="eastAsia" w:hAnsi="仿宋"/>
        </w:rPr>
        <w:t>。</w:t>
      </w:r>
      <w:r>
        <w:rPr>
          <w:rFonts w:hint="eastAsia" w:hAnsi="仿宋"/>
          <w:snapToGrid w:val="0"/>
        </w:rPr>
        <w:t>严重、重大教学事故由</w:t>
      </w:r>
      <w:r>
        <w:rPr>
          <w:rFonts w:hint="eastAsia" w:hAnsi="仿宋"/>
        </w:rPr>
        <w:t>教学质量监控与评估中心</w:t>
      </w:r>
      <w:r>
        <w:rPr>
          <w:rFonts w:hint="eastAsia" w:hAnsi="仿宋"/>
          <w:snapToGrid w:val="0"/>
        </w:rPr>
        <w:t>会同事故责任人所在部门提出认定与处理建议，连同教学事故当事人关于教学事故原因和情况说明等相关作证材料，报学校教学指导专门委员会审议后，由校长办公会审批。</w:t>
      </w:r>
    </w:p>
    <w:p>
      <w:pPr>
        <w:ind w:firstLine="31680"/>
        <w:rPr>
          <w:rFonts w:hAnsi="仿宋" w:cs="Times New Roman"/>
        </w:rPr>
      </w:pPr>
      <w:r>
        <w:rPr>
          <w:rStyle w:val="22"/>
          <w:rFonts w:hint="eastAsia" w:ascii="仿宋" w:hAnsi="仿宋" w:eastAsia="仿宋" w:cs="仿宋"/>
          <w:b/>
          <w:bCs/>
          <w:snapToGrid/>
          <w:sz w:val="28"/>
          <w:szCs w:val="28"/>
        </w:rPr>
        <w:t>第九条</w:t>
      </w:r>
      <w:r>
        <w:rPr>
          <w:rFonts w:hAnsi="仿宋"/>
        </w:rPr>
        <w:t xml:space="preserve">  </w:t>
      </w:r>
      <w:r>
        <w:rPr>
          <w:rFonts w:hint="eastAsia" w:hAnsi="仿宋"/>
        </w:rPr>
        <w:t>主管校长审批后，教学质量监控与评估中心负责向教学事故责任人送达《延边大学教学事故处理通知书》。</w:t>
      </w:r>
    </w:p>
    <w:p>
      <w:pPr>
        <w:ind w:firstLine="31680"/>
        <w:rPr>
          <w:rFonts w:hAnsi="仿宋" w:cs="Times New Roman"/>
        </w:rPr>
      </w:pPr>
      <w:r>
        <w:rPr>
          <w:rStyle w:val="22"/>
          <w:rFonts w:hint="eastAsia" w:ascii="仿宋" w:hAnsi="仿宋" w:eastAsia="仿宋" w:cs="仿宋"/>
          <w:b/>
          <w:bCs/>
          <w:snapToGrid/>
          <w:sz w:val="28"/>
          <w:szCs w:val="28"/>
        </w:rPr>
        <w:t>第十条</w:t>
      </w:r>
      <w:r>
        <w:rPr>
          <w:rStyle w:val="22"/>
          <w:rFonts w:ascii="仿宋" w:hAnsi="仿宋" w:eastAsia="仿宋" w:cs="仿宋"/>
          <w:b/>
          <w:bCs/>
          <w:sz w:val="28"/>
          <w:szCs w:val="28"/>
        </w:rPr>
        <w:t xml:space="preserve"> </w:t>
      </w:r>
      <w:r>
        <w:rPr>
          <w:rFonts w:hAnsi="仿宋"/>
        </w:rPr>
        <w:t xml:space="preserve"> </w:t>
      </w:r>
      <w:r>
        <w:rPr>
          <w:rFonts w:hint="eastAsia" w:hAnsi="仿宋"/>
        </w:rPr>
        <w:t>一般教学事故，由教学事故责任人所在部门行文，给予责任人在部门范围内通报批评，处以警告，并在教学质量监控与评估中心、教务处、实验室与设备管理处、人事处备案。</w:t>
      </w:r>
    </w:p>
    <w:p>
      <w:pPr>
        <w:ind w:firstLine="31680"/>
        <w:rPr>
          <w:rFonts w:hAnsi="仿宋" w:cs="Times New Roman"/>
        </w:rPr>
      </w:pPr>
      <w:r>
        <w:rPr>
          <w:rStyle w:val="22"/>
          <w:rFonts w:hint="eastAsia" w:ascii="仿宋" w:hAnsi="仿宋" w:eastAsia="仿宋" w:cs="仿宋"/>
          <w:b/>
          <w:bCs/>
          <w:snapToGrid/>
          <w:sz w:val="28"/>
          <w:szCs w:val="28"/>
        </w:rPr>
        <w:t>第十一条</w:t>
      </w:r>
      <w:r>
        <w:rPr>
          <w:rFonts w:hAnsi="仿宋"/>
        </w:rPr>
        <w:t xml:space="preserve">  </w:t>
      </w:r>
      <w:r>
        <w:rPr>
          <w:rFonts w:hint="eastAsia" w:hAnsi="仿宋"/>
        </w:rPr>
        <w:t>严重教学事故，在全校通报批评责任人，处以记过，并在教学质量监控与评估中心、教务处、实验室与设备管理处、人事处备案。</w:t>
      </w:r>
    </w:p>
    <w:p>
      <w:pPr>
        <w:ind w:firstLine="31680"/>
        <w:rPr>
          <w:rFonts w:hAnsi="仿宋" w:cs="Times New Roman"/>
        </w:rPr>
      </w:pPr>
      <w:r>
        <w:rPr>
          <w:rStyle w:val="22"/>
          <w:rFonts w:hint="eastAsia" w:ascii="仿宋" w:hAnsi="仿宋" w:eastAsia="仿宋" w:cs="仿宋"/>
          <w:b/>
          <w:bCs/>
          <w:snapToGrid/>
          <w:sz w:val="28"/>
          <w:szCs w:val="28"/>
        </w:rPr>
        <w:t>第十二条</w:t>
      </w:r>
      <w:r>
        <w:rPr>
          <w:rFonts w:hAnsi="仿宋"/>
        </w:rPr>
        <w:t xml:space="preserve">  </w:t>
      </w:r>
      <w:r>
        <w:rPr>
          <w:rFonts w:hint="eastAsia" w:hAnsi="仿宋"/>
        </w:rPr>
        <w:t>重大教学事故，在全校通报批评责任人，处以记大过，并在教学质量监控与评估中心、教务处、实验室与设备管理处、人事处备案。</w:t>
      </w:r>
    </w:p>
    <w:p>
      <w:pPr>
        <w:ind w:firstLine="31680"/>
        <w:rPr>
          <w:rFonts w:hAnsi="仿宋" w:cs="Times New Roman"/>
        </w:rPr>
      </w:pPr>
      <w:r>
        <w:rPr>
          <w:rStyle w:val="22"/>
          <w:rFonts w:hint="eastAsia" w:ascii="仿宋" w:hAnsi="仿宋" w:eastAsia="仿宋" w:cs="仿宋"/>
          <w:b/>
          <w:bCs/>
          <w:snapToGrid/>
          <w:sz w:val="28"/>
          <w:szCs w:val="28"/>
        </w:rPr>
        <w:t>第十三条</w:t>
      </w:r>
      <w:r>
        <w:rPr>
          <w:rFonts w:hAnsi="仿宋"/>
        </w:rPr>
        <w:t xml:space="preserve">  </w:t>
      </w:r>
      <w:r>
        <w:rPr>
          <w:rFonts w:hint="eastAsia" w:hAnsi="仿宋"/>
        </w:rPr>
        <w:t>对一年内发生两次重大教学事故的责任人，责令停职、调离原工作岗位。</w:t>
      </w:r>
    </w:p>
    <w:p>
      <w:pPr>
        <w:ind w:firstLine="31680"/>
        <w:rPr>
          <w:rFonts w:hAnsi="仿宋" w:cs="Times New Roman"/>
        </w:rPr>
      </w:pPr>
      <w:r>
        <w:rPr>
          <w:rStyle w:val="22"/>
          <w:rFonts w:hint="eastAsia" w:ascii="仿宋" w:hAnsi="仿宋" w:eastAsia="仿宋" w:cs="仿宋"/>
          <w:b/>
          <w:bCs/>
          <w:snapToGrid/>
          <w:sz w:val="28"/>
          <w:szCs w:val="28"/>
        </w:rPr>
        <w:t>第十四条</w:t>
      </w:r>
      <w:r>
        <w:rPr>
          <w:rFonts w:hAnsi="仿宋"/>
        </w:rPr>
        <w:t xml:space="preserve">  </w:t>
      </w:r>
      <w:r>
        <w:rPr>
          <w:rFonts w:hint="eastAsia" w:hAnsi="仿宋"/>
        </w:rPr>
        <w:t>对一年内发生两次重大教学事故的部门，将追究部门负责人责任，在全校通报批评，限期整改。</w:t>
      </w:r>
    </w:p>
    <w:p>
      <w:pPr>
        <w:ind w:firstLine="31680"/>
        <w:rPr>
          <w:rFonts w:hAnsi="仿宋" w:cs="Times New Roman"/>
        </w:rPr>
      </w:pPr>
      <w:r>
        <w:rPr>
          <w:rStyle w:val="22"/>
          <w:rFonts w:hint="eastAsia" w:ascii="仿宋" w:hAnsi="仿宋" w:eastAsia="仿宋" w:cs="仿宋"/>
          <w:b/>
          <w:bCs/>
          <w:snapToGrid/>
          <w:sz w:val="28"/>
          <w:szCs w:val="28"/>
        </w:rPr>
        <w:t>第十五条</w:t>
      </w:r>
      <w:r>
        <w:rPr>
          <w:rStyle w:val="22"/>
          <w:rFonts w:ascii="仿宋" w:hAnsi="仿宋" w:eastAsia="仿宋" w:cs="仿宋"/>
          <w:snapToGrid/>
          <w:sz w:val="28"/>
          <w:szCs w:val="28"/>
        </w:rPr>
        <w:t xml:space="preserve">  </w:t>
      </w:r>
      <w:r>
        <w:rPr>
          <w:rFonts w:hint="eastAsia" w:hAnsi="仿宋"/>
        </w:rPr>
        <w:t>发生其他影响正常教学秩序的情节，由学校相关部门参照本办法，视情节和后果予以认定与处理。</w:t>
      </w:r>
    </w:p>
    <w:p>
      <w:pPr>
        <w:pStyle w:val="8"/>
        <w:spacing w:before="381"/>
        <w:rPr>
          <w:rFonts w:cs="Times New Roman"/>
        </w:rPr>
      </w:pPr>
      <w:r>
        <w:rPr>
          <w:rFonts w:hint="eastAsia"/>
        </w:rPr>
        <w:t>第三章</w:t>
      </w:r>
      <w:r>
        <w:t xml:space="preserve">  </w:t>
      </w:r>
      <w:r>
        <w:rPr>
          <w:rFonts w:hint="eastAsia"/>
        </w:rPr>
        <w:t>申</w:t>
      </w:r>
      <w:r>
        <w:t xml:space="preserve">  </w:t>
      </w:r>
      <w:r>
        <w:rPr>
          <w:rFonts w:hint="eastAsia"/>
        </w:rPr>
        <w:t>诉</w:t>
      </w:r>
    </w:p>
    <w:p>
      <w:pPr>
        <w:ind w:firstLine="31680"/>
        <w:rPr>
          <w:rFonts w:hAnsi="仿宋" w:cs="Times New Roman"/>
        </w:rPr>
      </w:pPr>
      <w:r>
        <w:rPr>
          <w:rStyle w:val="22"/>
          <w:rFonts w:hint="eastAsia" w:ascii="仿宋" w:hAnsi="仿宋" w:eastAsia="仿宋" w:cs="仿宋"/>
          <w:b/>
          <w:bCs/>
          <w:snapToGrid/>
          <w:sz w:val="28"/>
          <w:szCs w:val="28"/>
        </w:rPr>
        <w:t>第十六条</w:t>
      </w:r>
      <w:r>
        <w:rPr>
          <w:rFonts w:hAnsi="仿宋"/>
        </w:rPr>
        <w:t xml:space="preserve">  </w:t>
      </w:r>
      <w:r>
        <w:rPr>
          <w:rFonts w:hint="eastAsia" w:hAnsi="仿宋"/>
        </w:rPr>
        <w:t>为维护教职工的合法权益，学校成立教职工申诉处理委员会，行使教学事故的调查、申诉、复议和裁决职能。</w:t>
      </w:r>
    </w:p>
    <w:p>
      <w:pPr>
        <w:ind w:firstLine="31680"/>
        <w:rPr>
          <w:rFonts w:hAnsi="仿宋" w:cs="Times New Roman"/>
        </w:rPr>
      </w:pPr>
      <w:r>
        <w:rPr>
          <w:rStyle w:val="22"/>
          <w:rFonts w:hint="eastAsia" w:ascii="仿宋" w:hAnsi="仿宋" w:eastAsia="仿宋" w:cs="仿宋"/>
          <w:b/>
          <w:bCs/>
          <w:snapToGrid/>
          <w:sz w:val="28"/>
          <w:szCs w:val="28"/>
        </w:rPr>
        <w:t>第十七条</w:t>
      </w:r>
      <w:r>
        <w:rPr>
          <w:rFonts w:hAnsi="仿宋"/>
        </w:rPr>
        <w:t xml:space="preserve">  </w:t>
      </w:r>
      <w:r>
        <w:rPr>
          <w:rFonts w:hint="eastAsia" w:hAnsi="仿宋"/>
        </w:rPr>
        <w:t>教学事故责任人对学校作出的处理决定不满，须在收到处理通知书之日起</w:t>
      </w:r>
      <w:r>
        <w:rPr>
          <w:rFonts w:hAnsi="仿宋"/>
        </w:rPr>
        <w:t>5</w:t>
      </w:r>
      <w:r>
        <w:rPr>
          <w:rFonts w:hint="eastAsia" w:hAnsi="仿宋"/>
        </w:rPr>
        <w:t>个工作日内向教职工申诉处理委员会提出申诉。</w:t>
      </w:r>
    </w:p>
    <w:p>
      <w:pPr>
        <w:ind w:firstLine="31680"/>
        <w:rPr>
          <w:rFonts w:hAnsi="仿宋" w:cs="Times New Roman"/>
        </w:rPr>
      </w:pPr>
      <w:r>
        <w:rPr>
          <w:rStyle w:val="22"/>
          <w:rFonts w:hint="eastAsia" w:ascii="仿宋" w:hAnsi="仿宋" w:eastAsia="仿宋" w:cs="仿宋"/>
          <w:b/>
          <w:bCs/>
          <w:snapToGrid/>
          <w:sz w:val="28"/>
          <w:szCs w:val="28"/>
        </w:rPr>
        <w:t>第十八条</w:t>
      </w:r>
      <w:r>
        <w:rPr>
          <w:rFonts w:hAnsi="仿宋"/>
        </w:rPr>
        <w:t xml:space="preserve">  </w:t>
      </w:r>
      <w:r>
        <w:rPr>
          <w:rFonts w:hint="eastAsia" w:hAnsi="仿宋"/>
        </w:rPr>
        <w:t>教学事故责任人申诉时，应向教职工申诉处理委员会递交《延边大学教学事故申诉申请书》，并附学校作出的处理决定（复印件）。</w:t>
      </w:r>
    </w:p>
    <w:p>
      <w:pPr>
        <w:ind w:firstLine="31680"/>
        <w:rPr>
          <w:rFonts w:hAnsi="仿宋" w:cs="Times New Roman"/>
        </w:rPr>
      </w:pPr>
      <w:r>
        <w:rPr>
          <w:rStyle w:val="22"/>
          <w:rFonts w:hint="eastAsia" w:ascii="仿宋" w:hAnsi="仿宋" w:eastAsia="仿宋" w:cs="仿宋"/>
          <w:b/>
          <w:bCs/>
          <w:snapToGrid/>
          <w:sz w:val="28"/>
          <w:szCs w:val="28"/>
        </w:rPr>
        <w:t>第十九条</w:t>
      </w:r>
      <w:r>
        <w:rPr>
          <w:rFonts w:hAnsi="仿宋"/>
        </w:rPr>
        <w:t xml:space="preserve">  </w:t>
      </w:r>
      <w:r>
        <w:rPr>
          <w:rFonts w:hint="eastAsia" w:hAnsi="仿宋"/>
        </w:rPr>
        <w:t>对教学事故责任人提出的申诉，教职工申诉处理委员会应在接到申诉书之日起</w:t>
      </w:r>
      <w:r>
        <w:rPr>
          <w:rFonts w:hAnsi="仿宋"/>
        </w:rPr>
        <w:t>5</w:t>
      </w:r>
      <w:r>
        <w:rPr>
          <w:rFonts w:hint="eastAsia" w:hAnsi="仿宋"/>
        </w:rPr>
        <w:t>个工作日内，区别不同情况作出如下处理：申诉材料不齐备，应通知申诉人在</w:t>
      </w:r>
      <w:r>
        <w:rPr>
          <w:rFonts w:hAnsi="仿宋"/>
        </w:rPr>
        <w:t>3</w:t>
      </w:r>
      <w:r>
        <w:rPr>
          <w:rFonts w:hint="eastAsia" w:hAnsi="仿宋"/>
        </w:rPr>
        <w:t>个工作日内补正；无正当理由，超过期限不补正的，按撤回申诉处理。</w:t>
      </w:r>
    </w:p>
    <w:p>
      <w:pPr>
        <w:ind w:firstLine="31680"/>
        <w:rPr>
          <w:rFonts w:hAnsi="仿宋" w:cs="Times New Roman"/>
        </w:rPr>
      </w:pPr>
      <w:r>
        <w:rPr>
          <w:rStyle w:val="22"/>
          <w:rFonts w:hint="eastAsia" w:ascii="仿宋" w:hAnsi="仿宋" w:eastAsia="仿宋" w:cs="仿宋"/>
          <w:b/>
          <w:bCs/>
          <w:snapToGrid/>
          <w:sz w:val="28"/>
          <w:szCs w:val="28"/>
        </w:rPr>
        <w:t>第二十条</w:t>
      </w:r>
      <w:r>
        <w:rPr>
          <w:rFonts w:hAnsi="仿宋"/>
        </w:rPr>
        <w:t xml:space="preserve">  </w:t>
      </w:r>
      <w:r>
        <w:rPr>
          <w:rFonts w:hint="eastAsia" w:hAnsi="仿宋"/>
        </w:rPr>
        <w:t>教职工申诉处理委员会应在接到申诉材料后的</w:t>
      </w:r>
      <w:r>
        <w:rPr>
          <w:rFonts w:hAnsi="仿宋"/>
        </w:rPr>
        <w:t>5</w:t>
      </w:r>
      <w:r>
        <w:rPr>
          <w:rFonts w:hint="eastAsia" w:hAnsi="仿宋"/>
        </w:rPr>
        <w:t>个工作日内，启动申诉处理程序，进行复议，在接到申诉材料后的</w:t>
      </w:r>
      <w:r>
        <w:rPr>
          <w:rFonts w:hAnsi="仿宋"/>
        </w:rPr>
        <w:t>15</w:t>
      </w:r>
      <w:r>
        <w:rPr>
          <w:rFonts w:hint="eastAsia" w:hAnsi="仿宋"/>
        </w:rPr>
        <w:t>个工作日内作出申诉处理决定。</w:t>
      </w:r>
    </w:p>
    <w:p>
      <w:pPr>
        <w:ind w:firstLine="31680"/>
        <w:rPr>
          <w:rFonts w:hAnsi="仿宋" w:cs="Times New Roman"/>
        </w:rPr>
      </w:pPr>
      <w:r>
        <w:rPr>
          <w:rStyle w:val="22"/>
          <w:rFonts w:hint="eastAsia" w:ascii="仿宋" w:hAnsi="仿宋" w:eastAsia="仿宋" w:cs="仿宋"/>
          <w:b/>
          <w:bCs/>
          <w:snapToGrid/>
          <w:sz w:val="28"/>
          <w:szCs w:val="28"/>
        </w:rPr>
        <w:t>第二十一条</w:t>
      </w:r>
      <w:r>
        <w:rPr>
          <w:rFonts w:hAnsi="仿宋"/>
        </w:rPr>
        <w:t xml:space="preserve">  </w:t>
      </w:r>
      <w:r>
        <w:rPr>
          <w:rFonts w:hint="eastAsia" w:hAnsi="仿宋"/>
        </w:rPr>
        <w:t>教职工申诉处理委员会应将申诉处理决定书</w:t>
      </w:r>
      <w:r>
        <w:rPr>
          <w:rFonts w:hAnsi="仿宋"/>
        </w:rPr>
        <w:t>5</w:t>
      </w:r>
      <w:r>
        <w:rPr>
          <w:rFonts w:hint="eastAsia" w:hAnsi="仿宋"/>
        </w:rPr>
        <w:t>个工作日内送达提出申诉的教学事故责任人。送达方式可当面交由申诉人签收或按申诉申请书通讯地址发送，并在校内公告。</w:t>
      </w:r>
    </w:p>
    <w:p>
      <w:pPr>
        <w:pStyle w:val="8"/>
        <w:spacing w:before="381"/>
        <w:rPr>
          <w:rFonts w:cs="Times New Roman"/>
        </w:rPr>
      </w:pPr>
      <w:r>
        <w:rPr>
          <w:rFonts w:hint="eastAsia"/>
        </w:rPr>
        <w:t>第四章</w:t>
      </w:r>
      <w:r>
        <w:t xml:space="preserve">  </w:t>
      </w:r>
      <w:r>
        <w:rPr>
          <w:rFonts w:hint="eastAsia"/>
        </w:rPr>
        <w:t>附则</w:t>
      </w:r>
    </w:p>
    <w:p>
      <w:pPr>
        <w:ind w:firstLine="31680"/>
        <w:rPr>
          <w:rFonts w:hAnsi="仿宋" w:cs="Times New Roman"/>
        </w:rPr>
      </w:pPr>
      <w:r>
        <w:rPr>
          <w:rStyle w:val="22"/>
          <w:rFonts w:hint="eastAsia" w:ascii="仿宋" w:hAnsi="仿宋" w:eastAsia="仿宋" w:cs="仿宋"/>
          <w:b/>
          <w:bCs/>
          <w:snapToGrid/>
          <w:sz w:val="28"/>
          <w:szCs w:val="28"/>
        </w:rPr>
        <w:t>第二十二条</w:t>
      </w:r>
      <w:r>
        <w:rPr>
          <w:rFonts w:hAnsi="仿宋"/>
        </w:rPr>
        <w:t xml:space="preserve">  </w:t>
      </w:r>
      <w:r>
        <w:rPr>
          <w:rFonts w:hint="eastAsia" w:hAnsi="仿宋"/>
        </w:rPr>
        <w:t>本办法自发布之日起施行，原相关规定同时废止。</w:t>
      </w:r>
    </w:p>
    <w:p>
      <w:pPr>
        <w:ind w:firstLine="31680"/>
        <w:rPr>
          <w:rFonts w:hAnsi="仿宋" w:cs="Times New Roman"/>
        </w:rPr>
      </w:pPr>
      <w:r>
        <w:rPr>
          <w:rStyle w:val="22"/>
          <w:rFonts w:hint="eastAsia" w:ascii="仿宋" w:hAnsi="仿宋" w:eastAsia="仿宋" w:cs="仿宋"/>
          <w:b/>
          <w:bCs/>
          <w:snapToGrid/>
          <w:sz w:val="28"/>
          <w:szCs w:val="28"/>
        </w:rPr>
        <w:t>第二十三条</w:t>
      </w:r>
      <w:r>
        <w:rPr>
          <w:rFonts w:hAnsi="仿宋"/>
        </w:rPr>
        <w:t xml:space="preserve">  </w:t>
      </w:r>
      <w:r>
        <w:rPr>
          <w:rFonts w:hint="eastAsia" w:hAnsi="仿宋"/>
        </w:rPr>
        <w:t>本办法由学校授权教学质量监控与评估中心负责解释。</w:t>
      </w:r>
    </w:p>
    <w:p>
      <w:pPr>
        <w:ind w:firstLine="31680"/>
        <w:rPr>
          <w:rStyle w:val="22"/>
          <w:rFonts w:ascii="仿宋" w:hAnsi="仿宋" w:eastAsia="仿宋" w:cs="仿宋"/>
          <w:b/>
          <w:bCs/>
          <w:snapToGrid/>
          <w:sz w:val="28"/>
          <w:szCs w:val="28"/>
        </w:rPr>
      </w:pPr>
      <w:r>
        <w:rPr>
          <w:rStyle w:val="22"/>
          <w:rFonts w:ascii="仿宋" w:hAnsi="仿宋" w:eastAsia="仿宋" w:cs="仿宋"/>
          <w:b/>
          <w:bCs/>
          <w:snapToGrid/>
          <w:sz w:val="28"/>
          <w:szCs w:val="28"/>
        </w:rPr>
        <w:t xml:space="preserve">  </w:t>
      </w:r>
    </w:p>
    <w:p>
      <w:pPr>
        <w:ind w:firstLine="31680"/>
        <w:rPr>
          <w:rStyle w:val="22"/>
          <w:rFonts w:ascii="仿宋" w:hAnsi="仿宋" w:eastAsia="仿宋" w:cs="仿宋"/>
          <w:b/>
          <w:bCs/>
          <w:snapToGrid/>
          <w:sz w:val="28"/>
          <w:szCs w:val="28"/>
        </w:rPr>
      </w:pPr>
    </w:p>
    <w:p>
      <w:pPr>
        <w:ind w:firstLine="31680"/>
        <w:rPr>
          <w:rFonts w:cs="Times New Roman"/>
        </w:rPr>
      </w:pPr>
      <w:r>
        <w:rPr>
          <w:rStyle w:val="22"/>
          <w:rFonts w:hint="eastAsia" w:ascii="仿宋" w:hAnsi="仿宋" w:eastAsia="仿宋" w:cs="仿宋"/>
          <w:b/>
          <w:bCs/>
          <w:sz w:val="28"/>
          <w:szCs w:val="28"/>
        </w:rPr>
        <w:t>附件</w:t>
      </w:r>
      <w:r>
        <w:rPr>
          <w:rFonts w:hint="eastAsia"/>
        </w:rPr>
        <w:t>：</w:t>
      </w:r>
      <w:r>
        <w:t>1.</w:t>
      </w:r>
      <w:r>
        <w:rPr>
          <w:rFonts w:hint="eastAsia"/>
        </w:rPr>
        <w:t>延边大学本科教学事故认定处理表</w:t>
      </w:r>
    </w:p>
    <w:p>
      <w:pPr>
        <w:ind w:firstLine="31680"/>
        <w:rPr>
          <w:rFonts w:cs="Times New Roman"/>
        </w:rPr>
      </w:pPr>
      <w:r>
        <w:t xml:space="preserve">      2.</w:t>
      </w:r>
      <w:r>
        <w:rPr>
          <w:rFonts w:hint="eastAsia"/>
        </w:rPr>
        <w:t>延边大学本科教学事故处理通知书</w:t>
      </w:r>
    </w:p>
    <w:p>
      <w:pPr>
        <w:ind w:firstLine="31680"/>
        <w:rPr>
          <w:rFonts w:cs="Times New Roman"/>
        </w:rPr>
      </w:pPr>
      <w:r>
        <w:t xml:space="preserve">      3.</w:t>
      </w:r>
      <w:r>
        <w:rPr>
          <w:rFonts w:hint="eastAsia"/>
        </w:rPr>
        <w:t>延边大学教学事故申诉申请书</w:t>
      </w:r>
    </w:p>
    <w:p>
      <w:pPr>
        <w:widowControl/>
        <w:adjustRightInd/>
        <w:snapToGrid/>
        <w:spacing w:line="240" w:lineRule="auto"/>
        <w:ind w:firstLine="0" w:firstLineChars="0"/>
        <w:rPr>
          <w:rFonts w:cs="Times New Roman"/>
        </w:rPr>
      </w:pPr>
    </w:p>
    <w:p>
      <w:pPr>
        <w:widowControl/>
        <w:adjustRightInd/>
        <w:snapToGrid/>
        <w:spacing w:line="240" w:lineRule="auto"/>
        <w:ind w:firstLine="0" w:firstLineChars="0"/>
        <w:rPr>
          <w:rFonts w:cs="Times New Roman"/>
        </w:rPr>
      </w:pPr>
    </w:p>
    <w:p>
      <w:pPr>
        <w:pStyle w:val="11"/>
        <w:ind w:right="31680"/>
      </w:pPr>
      <w:r>
        <w:t>2016</w:t>
      </w:r>
      <w:r>
        <w:rPr>
          <w:rFonts w:hint="eastAsia"/>
        </w:rPr>
        <w:t>年</w:t>
      </w:r>
      <w:r>
        <w:t>12</w:t>
      </w:r>
      <w:r>
        <w:rPr>
          <w:rFonts w:hint="eastAsia"/>
        </w:rPr>
        <w:t>月修订</w:t>
      </w:r>
      <w:r>
        <w:t xml:space="preserve"> </w:t>
      </w:r>
    </w:p>
    <w:p>
      <w:pPr>
        <w:ind w:firstLine="31680"/>
      </w:pPr>
      <w:r>
        <w:rPr>
          <w:rFonts w:cs="Times New Roman"/>
        </w:rPr>
        <w:br w:type="page"/>
      </w:r>
      <w:r>
        <w:rPr>
          <w:rFonts w:hint="eastAsia"/>
        </w:rPr>
        <w:t>附件</w:t>
      </w:r>
      <w:r>
        <w:t>1</w:t>
      </w:r>
    </w:p>
    <w:p>
      <w:pPr>
        <w:pStyle w:val="12"/>
        <w:rPr>
          <w:rFonts w:cs="Times New Roman"/>
        </w:rPr>
      </w:pPr>
      <w:r>
        <w:rPr>
          <w:rFonts w:hint="eastAsia" w:cs="黑体"/>
        </w:rPr>
        <w:t>延边大学本科教学事故认定处理表</w:t>
      </w:r>
    </w:p>
    <w:p>
      <w:pPr>
        <w:pStyle w:val="12"/>
        <w:rPr>
          <w:rFonts w:cs="Times New Roman"/>
        </w:rPr>
      </w:pPr>
    </w:p>
    <w:p>
      <w:pPr>
        <w:pStyle w:val="10"/>
        <w:ind w:firstLine="31680"/>
        <w:rPr>
          <w:rFonts w:ascii="宋体" w:hAnsi="宋体" w:eastAsia="宋体" w:cs="Times New Roman"/>
        </w:rPr>
      </w:pPr>
      <w:r>
        <w:rPr>
          <w:rFonts w:hint="eastAsia" w:ascii="宋体" w:hAnsi="宋体" w:eastAsia="宋体" w:cs="宋体"/>
        </w:rPr>
        <w:t>教学事故责任人所在部门：</w:t>
      </w:r>
    </w:p>
    <w:tbl>
      <w:tblPr>
        <w:tblStyle w:val="14"/>
        <w:tblW w:w="8440" w:type="dxa"/>
        <w:tblInd w:w="-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29"/>
        <w:gridCol w:w="2741"/>
        <w:gridCol w:w="1618"/>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1" w:hRule="atLeast"/>
        </w:trPr>
        <w:tc>
          <w:tcPr>
            <w:tcW w:w="1729" w:type="dxa"/>
            <w:vAlign w:val="center"/>
          </w:tcPr>
          <w:p>
            <w:pPr>
              <w:ind w:firstLine="0" w:firstLineChars="0"/>
              <w:jc w:val="center"/>
              <w:rPr>
                <w:rFonts w:ascii="宋体" w:hAnsi="宋体" w:eastAsia="宋体" w:cs="Times New Roman"/>
              </w:rPr>
            </w:pPr>
            <w:r>
              <w:rPr>
                <w:rFonts w:hint="eastAsia" w:ascii="宋体" w:hAnsi="宋体" w:eastAsia="宋体" w:cs="宋体"/>
              </w:rPr>
              <w:t>教学事故</w:t>
            </w:r>
          </w:p>
          <w:p>
            <w:pPr>
              <w:ind w:firstLine="0" w:firstLineChars="0"/>
              <w:jc w:val="center"/>
              <w:rPr>
                <w:rFonts w:ascii="宋体" w:hAnsi="宋体" w:eastAsia="宋体" w:cs="Times New Roman"/>
              </w:rPr>
            </w:pPr>
            <w:r>
              <w:rPr>
                <w:rFonts w:hint="eastAsia" w:ascii="宋体" w:hAnsi="宋体" w:eastAsia="宋体" w:cs="宋体"/>
              </w:rPr>
              <w:t>名称</w:t>
            </w:r>
          </w:p>
        </w:tc>
        <w:tc>
          <w:tcPr>
            <w:tcW w:w="2741" w:type="dxa"/>
            <w:vAlign w:val="center"/>
          </w:tcPr>
          <w:p>
            <w:pPr>
              <w:ind w:firstLine="0" w:firstLineChars="0"/>
              <w:jc w:val="center"/>
              <w:rPr>
                <w:rFonts w:ascii="宋体" w:hAnsi="宋体" w:eastAsia="宋体" w:cs="Times New Roman"/>
              </w:rPr>
            </w:pPr>
          </w:p>
        </w:tc>
        <w:tc>
          <w:tcPr>
            <w:tcW w:w="1618" w:type="dxa"/>
            <w:vAlign w:val="center"/>
          </w:tcPr>
          <w:p>
            <w:pPr>
              <w:ind w:firstLine="0" w:firstLineChars="0"/>
              <w:jc w:val="center"/>
              <w:rPr>
                <w:rFonts w:ascii="宋体" w:hAnsi="宋体" w:eastAsia="宋体" w:cs="Times New Roman"/>
              </w:rPr>
            </w:pPr>
            <w:r>
              <w:rPr>
                <w:rFonts w:hint="eastAsia" w:ascii="宋体" w:hAnsi="宋体" w:eastAsia="宋体" w:cs="宋体"/>
              </w:rPr>
              <w:t>时间、地点</w:t>
            </w:r>
          </w:p>
        </w:tc>
        <w:tc>
          <w:tcPr>
            <w:tcW w:w="2352" w:type="dxa"/>
            <w:vAlign w:val="center"/>
          </w:tcPr>
          <w:p>
            <w:pPr>
              <w:ind w:firstLine="0" w:firstLineChars="0"/>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70" w:hRule="atLeast"/>
        </w:trPr>
        <w:tc>
          <w:tcPr>
            <w:tcW w:w="1729" w:type="dxa"/>
            <w:vAlign w:val="center"/>
          </w:tcPr>
          <w:p>
            <w:pPr>
              <w:ind w:firstLine="0" w:firstLineChars="0"/>
              <w:jc w:val="center"/>
              <w:rPr>
                <w:rFonts w:ascii="宋体" w:hAnsi="宋体" w:eastAsia="宋体" w:cs="Times New Roman"/>
              </w:rPr>
            </w:pPr>
            <w:r>
              <w:rPr>
                <w:rFonts w:hint="eastAsia" w:ascii="宋体" w:hAnsi="宋体" w:eastAsia="宋体" w:cs="宋体"/>
              </w:rPr>
              <w:t>教学事故</w:t>
            </w:r>
          </w:p>
          <w:p>
            <w:pPr>
              <w:ind w:firstLine="0" w:firstLineChars="0"/>
              <w:jc w:val="center"/>
              <w:rPr>
                <w:rFonts w:ascii="宋体" w:hAnsi="宋体" w:eastAsia="宋体" w:cs="Times New Roman"/>
              </w:rPr>
            </w:pPr>
            <w:r>
              <w:rPr>
                <w:rFonts w:hint="eastAsia" w:ascii="宋体" w:hAnsi="宋体" w:eastAsia="宋体" w:cs="宋体"/>
              </w:rPr>
              <w:t>责任人</w:t>
            </w:r>
          </w:p>
        </w:tc>
        <w:tc>
          <w:tcPr>
            <w:tcW w:w="2741" w:type="dxa"/>
            <w:vAlign w:val="center"/>
          </w:tcPr>
          <w:p>
            <w:pPr>
              <w:ind w:firstLine="0" w:firstLineChars="0"/>
              <w:jc w:val="center"/>
              <w:rPr>
                <w:rFonts w:ascii="宋体" w:hAnsi="宋体" w:eastAsia="宋体" w:cs="Times New Roman"/>
              </w:rPr>
            </w:pPr>
          </w:p>
        </w:tc>
        <w:tc>
          <w:tcPr>
            <w:tcW w:w="1618" w:type="dxa"/>
            <w:vAlign w:val="center"/>
          </w:tcPr>
          <w:p>
            <w:pPr>
              <w:ind w:firstLine="0" w:firstLineChars="0"/>
              <w:jc w:val="center"/>
              <w:rPr>
                <w:rFonts w:ascii="宋体" w:hAnsi="宋体" w:eastAsia="宋体" w:cs="Times New Roman"/>
              </w:rPr>
            </w:pPr>
            <w:r>
              <w:rPr>
                <w:rFonts w:hint="eastAsia" w:ascii="宋体" w:hAnsi="宋体" w:eastAsia="宋体" w:cs="宋体"/>
              </w:rPr>
              <w:t>教学事故</w:t>
            </w:r>
          </w:p>
          <w:p>
            <w:pPr>
              <w:ind w:firstLine="0" w:firstLineChars="0"/>
              <w:jc w:val="center"/>
              <w:rPr>
                <w:rFonts w:ascii="宋体" w:hAnsi="宋体" w:eastAsia="宋体" w:cs="Times New Roman"/>
              </w:rPr>
            </w:pPr>
            <w:r>
              <w:rPr>
                <w:rFonts w:hint="eastAsia" w:ascii="宋体" w:hAnsi="宋体" w:eastAsia="宋体" w:cs="宋体"/>
              </w:rPr>
              <w:t>核实部门</w:t>
            </w:r>
          </w:p>
        </w:tc>
        <w:tc>
          <w:tcPr>
            <w:tcW w:w="2352" w:type="dxa"/>
            <w:vAlign w:val="center"/>
          </w:tcPr>
          <w:p>
            <w:pPr>
              <w:ind w:firstLine="0" w:firstLineChars="0"/>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044" w:hRule="atLeast"/>
        </w:trPr>
        <w:tc>
          <w:tcPr>
            <w:tcW w:w="1729" w:type="dxa"/>
            <w:vAlign w:val="center"/>
          </w:tcPr>
          <w:p>
            <w:pPr>
              <w:ind w:firstLine="0" w:firstLineChars="0"/>
              <w:jc w:val="center"/>
              <w:rPr>
                <w:rFonts w:ascii="宋体" w:hAnsi="宋体" w:eastAsia="宋体" w:cs="Times New Roman"/>
              </w:rPr>
            </w:pPr>
            <w:r>
              <w:rPr>
                <w:rFonts w:hint="eastAsia" w:ascii="宋体" w:hAnsi="宋体" w:eastAsia="宋体" w:cs="宋体"/>
              </w:rPr>
              <w:t>教学事故</w:t>
            </w:r>
          </w:p>
          <w:p>
            <w:pPr>
              <w:ind w:firstLine="0" w:firstLineChars="0"/>
              <w:jc w:val="center"/>
              <w:rPr>
                <w:rFonts w:ascii="宋体" w:hAnsi="宋体" w:eastAsia="宋体" w:cs="Times New Roman"/>
              </w:rPr>
            </w:pPr>
            <w:r>
              <w:rPr>
                <w:rFonts w:hint="eastAsia" w:ascii="宋体" w:hAnsi="宋体" w:eastAsia="宋体" w:cs="宋体"/>
              </w:rPr>
              <w:t>责任人所在部门认定</w:t>
            </w:r>
          </w:p>
          <w:p>
            <w:pPr>
              <w:ind w:firstLine="0" w:firstLineChars="0"/>
              <w:jc w:val="center"/>
              <w:rPr>
                <w:rFonts w:ascii="宋体" w:hAnsi="宋体" w:eastAsia="宋体" w:cs="Times New Roman"/>
              </w:rPr>
            </w:pPr>
            <w:r>
              <w:rPr>
                <w:rFonts w:hint="eastAsia" w:ascii="宋体" w:hAnsi="宋体" w:eastAsia="宋体" w:cs="宋体"/>
              </w:rPr>
              <w:t>处理意见</w:t>
            </w:r>
          </w:p>
        </w:tc>
        <w:tc>
          <w:tcPr>
            <w:tcW w:w="6711" w:type="dxa"/>
            <w:gridSpan w:val="3"/>
          </w:tcPr>
          <w:p>
            <w:pPr>
              <w:ind w:firstLine="0" w:firstLineChars="0"/>
              <w:rPr>
                <w:rFonts w:ascii="宋体" w:hAnsi="宋体" w:eastAsia="宋体" w:cs="Times New Roman"/>
              </w:rPr>
            </w:pPr>
            <w:r>
              <w:rPr>
                <w:rFonts w:hint="eastAsia" w:ascii="宋体" w:hAnsi="宋体" w:eastAsia="宋体" w:cs="宋体"/>
              </w:rPr>
              <w:t>事故情况、造成影响、级别及处理意见：</w:t>
            </w:r>
          </w:p>
          <w:p>
            <w:pPr>
              <w:ind w:firstLine="0" w:firstLineChars="0"/>
              <w:jc w:val="center"/>
              <w:rPr>
                <w:rFonts w:ascii="宋体" w:hAnsi="宋体" w:eastAsia="宋体" w:cs="Times New Roman"/>
              </w:rPr>
            </w:pPr>
          </w:p>
          <w:p>
            <w:pPr>
              <w:ind w:firstLine="0" w:firstLineChars="0"/>
              <w:jc w:val="center"/>
              <w:rPr>
                <w:rFonts w:ascii="宋体" w:hAnsi="宋体" w:eastAsia="宋体" w:cs="Times New Roman"/>
              </w:rPr>
            </w:pPr>
          </w:p>
          <w:p>
            <w:pPr>
              <w:ind w:firstLine="0" w:firstLineChars="0"/>
              <w:jc w:val="center"/>
              <w:rPr>
                <w:rFonts w:ascii="宋体" w:hAnsi="宋体" w:eastAsia="宋体" w:cs="Times New Roman"/>
              </w:rPr>
            </w:pPr>
          </w:p>
          <w:p>
            <w:pPr>
              <w:ind w:firstLine="0" w:firstLineChars="0"/>
              <w:jc w:val="center"/>
              <w:rPr>
                <w:rFonts w:ascii="宋体" w:hAnsi="宋体" w:eastAsia="宋体" w:cs="Times New Roman"/>
              </w:rPr>
            </w:pPr>
          </w:p>
          <w:p>
            <w:pPr>
              <w:ind w:firstLine="0" w:firstLineChars="0"/>
              <w:jc w:val="center"/>
              <w:rPr>
                <w:rFonts w:ascii="宋体" w:hAnsi="宋体" w:eastAsia="宋体" w:cs="Times New Roman"/>
              </w:rPr>
            </w:pPr>
          </w:p>
          <w:p>
            <w:pPr>
              <w:ind w:firstLine="0" w:firstLineChars="0"/>
              <w:jc w:val="center"/>
              <w:rPr>
                <w:rFonts w:ascii="宋体" w:hAnsi="宋体" w:eastAsia="宋体" w:cs="Times New Roman"/>
              </w:rPr>
            </w:pPr>
            <w:r>
              <w:rPr>
                <w:rFonts w:hint="eastAsia" w:ascii="宋体" w:hAnsi="宋体" w:eastAsia="宋体" w:cs="宋体"/>
              </w:rPr>
              <w:t>部门负责人：</w:t>
            </w:r>
            <w:r>
              <w:rPr>
                <w:rFonts w:ascii="宋体" w:hAnsi="宋体" w:eastAsia="宋体" w:cs="宋体"/>
              </w:rPr>
              <w:t xml:space="preserve">            </w:t>
            </w:r>
            <w:r>
              <w:rPr>
                <w:rFonts w:hint="eastAsia" w:ascii="宋体" w:hAnsi="宋体" w:eastAsia="宋体" w:cs="宋体"/>
              </w:rPr>
              <w:t>（公章）</w:t>
            </w:r>
          </w:p>
          <w:p>
            <w:pPr>
              <w:ind w:firstLine="0" w:firstLineChars="0"/>
              <w:jc w:val="center"/>
              <w:rPr>
                <w:rFonts w:ascii="宋体" w:hAnsi="宋体" w:eastAsia="宋体" w:cs="Times New Roman"/>
              </w:rPr>
            </w:pPr>
            <w:r>
              <w:rPr>
                <w:rFonts w:hint="eastAsia" w:ascii="宋体" w:hAnsi="宋体" w:eastAsia="宋体" w:cs="宋体"/>
              </w:rPr>
              <w:t>年</w:t>
            </w:r>
            <w:r>
              <w:rPr>
                <w:rFonts w:ascii="宋体" w:hAnsi="宋体" w:eastAsia="宋体" w:cs="宋体"/>
              </w:rPr>
              <w:t xml:space="preserve">    </w:t>
            </w:r>
            <w:r>
              <w:rPr>
                <w:rFonts w:hint="eastAsia" w:ascii="宋体" w:hAnsi="宋体" w:eastAsia="宋体" w:cs="宋体"/>
              </w:rPr>
              <w:t>月</w:t>
            </w:r>
            <w:r>
              <w:rPr>
                <w:rFonts w:ascii="宋体" w:hAnsi="宋体" w:eastAsia="宋体" w:cs="宋体"/>
              </w:rPr>
              <w:t xml:space="preserve">    </w:t>
            </w:r>
            <w:r>
              <w:rPr>
                <w:rFonts w:hint="eastAsia" w:ascii="宋体" w:hAnsi="宋体" w:eastAsia="宋体"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401" w:hRule="atLeast"/>
        </w:trPr>
        <w:tc>
          <w:tcPr>
            <w:tcW w:w="1729" w:type="dxa"/>
            <w:vAlign w:val="center"/>
          </w:tcPr>
          <w:p>
            <w:pPr>
              <w:ind w:firstLine="0" w:firstLineChars="0"/>
              <w:jc w:val="center"/>
              <w:rPr>
                <w:rFonts w:ascii="宋体" w:hAnsi="宋体" w:eastAsia="宋体" w:cs="Times New Roman"/>
              </w:rPr>
            </w:pPr>
            <w:r>
              <w:rPr>
                <w:rFonts w:hint="eastAsia" w:ascii="宋体" w:hAnsi="宋体" w:eastAsia="宋体" w:cs="宋体"/>
              </w:rPr>
              <w:t>教学质量</w:t>
            </w:r>
          </w:p>
          <w:p>
            <w:pPr>
              <w:ind w:firstLine="0" w:firstLineChars="0"/>
              <w:jc w:val="center"/>
              <w:rPr>
                <w:rFonts w:ascii="宋体" w:hAnsi="宋体" w:eastAsia="宋体" w:cs="Times New Roman"/>
              </w:rPr>
            </w:pPr>
            <w:r>
              <w:rPr>
                <w:rFonts w:hint="eastAsia" w:ascii="宋体" w:hAnsi="宋体" w:eastAsia="宋体" w:cs="宋体"/>
              </w:rPr>
              <w:t>监控与评估中心意见</w:t>
            </w:r>
          </w:p>
        </w:tc>
        <w:tc>
          <w:tcPr>
            <w:tcW w:w="6711" w:type="dxa"/>
            <w:gridSpan w:val="3"/>
            <w:vAlign w:val="bottom"/>
          </w:tcPr>
          <w:p>
            <w:pPr>
              <w:ind w:firstLine="0" w:firstLineChars="0"/>
              <w:jc w:val="center"/>
              <w:rPr>
                <w:rFonts w:ascii="宋体" w:hAnsi="宋体" w:eastAsia="宋体" w:cs="Times New Roman"/>
              </w:rPr>
            </w:pPr>
          </w:p>
          <w:p>
            <w:pPr>
              <w:ind w:firstLine="0" w:firstLineChars="0"/>
              <w:jc w:val="center"/>
              <w:rPr>
                <w:rFonts w:ascii="宋体" w:hAnsi="宋体" w:eastAsia="宋体" w:cs="Times New Roman"/>
              </w:rPr>
            </w:pPr>
            <w:r>
              <w:rPr>
                <w:rFonts w:hint="eastAsia" w:ascii="宋体" w:hAnsi="宋体" w:eastAsia="宋体" w:cs="宋体"/>
              </w:rPr>
              <w:t>主任签字：</w:t>
            </w:r>
            <w:r>
              <w:rPr>
                <w:rFonts w:ascii="宋体" w:hAnsi="宋体" w:eastAsia="宋体" w:cs="宋体"/>
              </w:rPr>
              <w:t xml:space="preserve">             </w:t>
            </w:r>
            <w:r>
              <w:rPr>
                <w:rFonts w:hint="eastAsia" w:ascii="宋体" w:hAnsi="宋体" w:eastAsia="宋体" w:cs="宋体"/>
              </w:rPr>
              <w:t>（公章）</w:t>
            </w:r>
          </w:p>
          <w:p>
            <w:pPr>
              <w:ind w:firstLine="0" w:firstLineChars="0"/>
              <w:jc w:val="center"/>
              <w:rPr>
                <w:rFonts w:ascii="宋体" w:hAnsi="宋体" w:eastAsia="宋体" w:cs="Times New Roman"/>
              </w:rPr>
            </w:pPr>
            <w:r>
              <w:rPr>
                <w:rFonts w:hint="eastAsia" w:ascii="宋体" w:hAnsi="宋体" w:eastAsia="宋体" w:cs="宋体"/>
              </w:rPr>
              <w:t>年</w:t>
            </w:r>
            <w:r>
              <w:rPr>
                <w:rFonts w:ascii="宋体" w:hAnsi="宋体" w:eastAsia="宋体" w:cs="宋体"/>
              </w:rPr>
              <w:t xml:space="preserve">    </w:t>
            </w:r>
            <w:r>
              <w:rPr>
                <w:rFonts w:hint="eastAsia" w:ascii="宋体" w:hAnsi="宋体" w:eastAsia="宋体" w:cs="宋体"/>
              </w:rPr>
              <w:t>月</w:t>
            </w:r>
            <w:r>
              <w:rPr>
                <w:rFonts w:ascii="宋体" w:hAnsi="宋体" w:eastAsia="宋体" w:cs="宋体"/>
              </w:rPr>
              <w:t xml:space="preserve">    </w:t>
            </w:r>
            <w:r>
              <w:rPr>
                <w:rFonts w:hint="eastAsia" w:ascii="宋体" w:hAnsi="宋体" w:eastAsia="宋体" w:cs="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251" w:hRule="atLeast"/>
        </w:trPr>
        <w:tc>
          <w:tcPr>
            <w:tcW w:w="1729" w:type="dxa"/>
            <w:vAlign w:val="center"/>
          </w:tcPr>
          <w:p>
            <w:pPr>
              <w:ind w:firstLine="0" w:firstLineChars="0"/>
              <w:jc w:val="center"/>
              <w:rPr>
                <w:rFonts w:ascii="宋体" w:hAnsi="宋体" w:eastAsia="宋体" w:cs="Times New Roman"/>
              </w:rPr>
            </w:pPr>
            <w:r>
              <w:rPr>
                <w:rFonts w:hint="eastAsia" w:ascii="宋体" w:hAnsi="宋体" w:eastAsia="宋体" w:cs="宋体"/>
              </w:rPr>
              <w:t>主管</w:t>
            </w:r>
          </w:p>
          <w:p>
            <w:pPr>
              <w:ind w:firstLine="0" w:firstLineChars="0"/>
              <w:jc w:val="center"/>
              <w:rPr>
                <w:rFonts w:ascii="宋体" w:hAnsi="宋体" w:eastAsia="宋体" w:cs="Times New Roman"/>
              </w:rPr>
            </w:pPr>
            <w:r>
              <w:rPr>
                <w:rFonts w:hint="eastAsia" w:ascii="宋体" w:hAnsi="宋体" w:eastAsia="宋体" w:cs="宋体"/>
              </w:rPr>
              <w:t>校长</w:t>
            </w:r>
          </w:p>
          <w:p>
            <w:pPr>
              <w:ind w:firstLine="0" w:firstLineChars="0"/>
              <w:jc w:val="center"/>
              <w:rPr>
                <w:rFonts w:ascii="宋体" w:hAnsi="宋体" w:eastAsia="宋体" w:cs="Times New Roman"/>
              </w:rPr>
            </w:pPr>
            <w:r>
              <w:rPr>
                <w:rFonts w:hint="eastAsia" w:ascii="宋体" w:hAnsi="宋体" w:eastAsia="宋体" w:cs="宋体"/>
              </w:rPr>
              <w:t>意见</w:t>
            </w:r>
          </w:p>
        </w:tc>
        <w:tc>
          <w:tcPr>
            <w:tcW w:w="6711" w:type="dxa"/>
            <w:gridSpan w:val="3"/>
            <w:vAlign w:val="bottom"/>
          </w:tcPr>
          <w:p>
            <w:pPr>
              <w:ind w:firstLine="0" w:firstLineChars="0"/>
              <w:jc w:val="center"/>
              <w:rPr>
                <w:rFonts w:ascii="宋体" w:hAnsi="宋体" w:eastAsia="宋体" w:cs="Times New Roman"/>
              </w:rPr>
            </w:pPr>
            <w:r>
              <w:rPr>
                <w:rFonts w:hint="eastAsia" w:ascii="宋体" w:hAnsi="宋体" w:eastAsia="宋体" w:cs="宋体"/>
              </w:rPr>
              <w:t>领导签字：</w:t>
            </w:r>
            <w:r>
              <w:rPr>
                <w:rFonts w:ascii="宋体" w:hAnsi="宋体" w:eastAsia="宋体" w:cs="宋体"/>
              </w:rPr>
              <w:t xml:space="preserve">             </w:t>
            </w:r>
            <w:r>
              <w:rPr>
                <w:rFonts w:hint="eastAsia" w:ascii="宋体" w:hAnsi="宋体" w:eastAsia="宋体" w:cs="宋体"/>
              </w:rPr>
              <w:t>（公章）</w:t>
            </w:r>
          </w:p>
          <w:p>
            <w:pPr>
              <w:ind w:firstLine="0" w:firstLineChars="0"/>
              <w:jc w:val="center"/>
              <w:rPr>
                <w:rFonts w:ascii="宋体" w:hAnsi="宋体" w:eastAsia="宋体" w:cs="Times New Roman"/>
              </w:rPr>
            </w:pPr>
            <w:r>
              <w:rPr>
                <w:rFonts w:hint="eastAsia" w:ascii="宋体" w:hAnsi="宋体" w:eastAsia="宋体" w:cs="宋体"/>
              </w:rPr>
              <w:t>年</w:t>
            </w:r>
            <w:r>
              <w:rPr>
                <w:rFonts w:ascii="宋体" w:hAnsi="宋体" w:eastAsia="宋体" w:cs="宋体"/>
              </w:rPr>
              <w:t xml:space="preserve">    </w:t>
            </w:r>
            <w:r>
              <w:rPr>
                <w:rFonts w:hint="eastAsia" w:ascii="宋体" w:hAnsi="宋体" w:eastAsia="宋体" w:cs="宋体"/>
              </w:rPr>
              <w:t>月</w:t>
            </w:r>
            <w:r>
              <w:rPr>
                <w:rFonts w:ascii="宋体" w:hAnsi="宋体" w:eastAsia="宋体" w:cs="宋体"/>
              </w:rPr>
              <w:t xml:space="preserve">    </w:t>
            </w:r>
            <w:r>
              <w:rPr>
                <w:rFonts w:hint="eastAsia" w:ascii="宋体" w:hAnsi="宋体" w:eastAsia="宋体" w:cs="宋体"/>
              </w:rPr>
              <w:t>日</w:t>
            </w:r>
          </w:p>
        </w:tc>
      </w:tr>
    </w:tbl>
    <w:p>
      <w:pPr>
        <w:spacing w:line="240" w:lineRule="exact"/>
        <w:ind w:firstLine="0" w:firstLineChars="0"/>
        <w:rPr>
          <w:rFonts w:cs="Times New Roman"/>
          <w:sz w:val="21"/>
          <w:szCs w:val="21"/>
        </w:rPr>
      </w:pPr>
      <w:r>
        <w:rPr>
          <w:rFonts w:hint="eastAsia"/>
          <w:sz w:val="21"/>
          <w:szCs w:val="21"/>
        </w:rPr>
        <w:t>说明：</w:t>
      </w:r>
      <w:r>
        <w:rPr>
          <w:sz w:val="21"/>
          <w:szCs w:val="21"/>
        </w:rPr>
        <w:t>1.</w:t>
      </w:r>
      <w:r>
        <w:rPr>
          <w:rFonts w:hint="eastAsia"/>
          <w:sz w:val="21"/>
          <w:szCs w:val="21"/>
        </w:rPr>
        <w:t>教学事故级别包括“一般教学事故”、“严重教学事故”“重大教学事故”。</w:t>
      </w:r>
    </w:p>
    <w:p>
      <w:pPr>
        <w:spacing w:line="240" w:lineRule="exact"/>
        <w:ind w:firstLine="0" w:firstLineChars="0"/>
        <w:rPr>
          <w:rFonts w:cs="Times New Roman"/>
          <w:sz w:val="21"/>
          <w:szCs w:val="21"/>
        </w:rPr>
      </w:pPr>
      <w:r>
        <w:rPr>
          <w:sz w:val="21"/>
          <w:szCs w:val="21"/>
        </w:rPr>
        <w:t xml:space="preserve">      2.</w:t>
      </w:r>
      <w:r>
        <w:rPr>
          <w:rFonts w:hint="eastAsia"/>
          <w:sz w:val="21"/>
          <w:szCs w:val="21"/>
        </w:rPr>
        <w:t>本表一式四份，由教学事故责任人所在部门、教学质量监控与评估中心、教务处、人事处留存。</w:t>
      </w:r>
    </w:p>
    <w:p>
      <w:pPr>
        <w:ind w:firstLine="31680"/>
      </w:pPr>
      <w:r>
        <w:rPr>
          <w:rFonts w:hint="eastAsia"/>
        </w:rPr>
        <w:t>附件</w:t>
      </w:r>
      <w:r>
        <w:t>2</w:t>
      </w:r>
    </w:p>
    <w:p>
      <w:pPr>
        <w:pStyle w:val="12"/>
        <w:rPr>
          <w:rFonts w:cs="Times New Roman"/>
        </w:rPr>
      </w:pPr>
      <w:r>
        <w:rPr>
          <w:rFonts w:hint="eastAsia" w:cs="黑体"/>
        </w:rPr>
        <w:t>延边大学本科教学事故处理通知书【存根联】</w:t>
      </w:r>
    </w:p>
    <w:p>
      <w:pPr>
        <w:pStyle w:val="12"/>
        <w:rPr>
          <w:rFonts w:cs="Times New Roman"/>
        </w:rPr>
      </w:pPr>
    </w:p>
    <w:p>
      <w:pPr>
        <w:ind w:firstLine="31680"/>
        <w:rPr>
          <w:rFonts w:ascii="仿宋_GB2312" w:eastAsia="仿宋_GB2312" w:cs="Times New Roman"/>
        </w:rPr>
      </w:pPr>
      <w:r>
        <w:rPr>
          <w:rFonts w:ascii="仿宋_GB2312" w:eastAsia="仿宋_GB2312" w:cs="仿宋_GB2312"/>
          <w:u w:val="single"/>
        </w:rPr>
        <w:t xml:space="preserve">               </w:t>
      </w:r>
      <w:r>
        <w:rPr>
          <w:rFonts w:hint="eastAsia" w:ascii="仿宋_GB2312" w:eastAsia="仿宋_GB2312" w:cs="仿宋_GB2312"/>
        </w:rPr>
        <w:t>：</w:t>
      </w:r>
    </w:p>
    <w:p>
      <w:pPr>
        <w:ind w:firstLine="31680"/>
        <w:rPr>
          <w:rFonts w:ascii="仿宋_GB2312" w:eastAsia="仿宋_GB2312" w:cs="仿宋_GB2312"/>
        </w:rPr>
      </w:pPr>
      <w:r>
        <w:rPr>
          <w:rFonts w:hint="eastAsia" w:ascii="仿宋_GB2312" w:eastAsia="仿宋_GB2312" w:cs="仿宋_GB2312"/>
        </w:rPr>
        <w:t>你于</w:t>
      </w:r>
      <w:r>
        <w:rPr>
          <w:rFonts w:ascii="仿宋_GB2312" w:eastAsia="仿宋_GB2312" w:cs="仿宋_GB2312"/>
        </w:rPr>
        <w:t xml:space="preserve">       </w:t>
      </w:r>
      <w:r>
        <w:rPr>
          <w:rFonts w:hint="eastAsia" w:ascii="仿宋_GB2312" w:eastAsia="仿宋_GB2312" w:cs="仿宋_GB2312"/>
        </w:rPr>
        <w:t>年</w:t>
      </w:r>
      <w:r>
        <w:rPr>
          <w:rFonts w:ascii="仿宋_GB2312" w:eastAsia="仿宋_GB2312" w:cs="仿宋_GB2312"/>
        </w:rPr>
        <w:t xml:space="preserve">   </w:t>
      </w:r>
      <w:r>
        <w:rPr>
          <w:rFonts w:hint="eastAsia" w:ascii="仿宋_GB2312" w:eastAsia="仿宋_GB2312" w:cs="仿宋_GB2312"/>
        </w:rPr>
        <w:t>月</w:t>
      </w:r>
      <w:r>
        <w:rPr>
          <w:rFonts w:ascii="仿宋_GB2312" w:eastAsia="仿宋_GB2312" w:cs="仿宋_GB2312"/>
        </w:rPr>
        <w:t xml:space="preserve">   </w:t>
      </w:r>
      <w:r>
        <w:rPr>
          <w:rFonts w:hint="eastAsia" w:ascii="仿宋_GB2312" w:eastAsia="仿宋_GB2312" w:cs="仿宋_GB2312"/>
        </w:rPr>
        <w:t>日发生的</w:t>
      </w:r>
      <w:r>
        <w:rPr>
          <w:rFonts w:ascii="仿宋_GB2312" w:eastAsia="仿宋_GB2312" w:cs="仿宋_GB2312"/>
          <w:u w:val="single"/>
        </w:rPr>
        <w:t xml:space="preserve">                         </w:t>
      </w:r>
      <w:r>
        <w:rPr>
          <w:rFonts w:hint="eastAsia" w:ascii="仿宋_GB2312" w:eastAsia="仿宋_GB2312" w:cs="仿宋_GB2312"/>
        </w:rPr>
        <w:t>，违反了《延边大学本科教学事故认定及处理办法》第</w:t>
      </w:r>
      <w:r>
        <w:rPr>
          <w:rFonts w:ascii="仿宋_GB2312" w:eastAsia="仿宋_GB2312" w:cs="仿宋_GB2312"/>
        </w:rPr>
        <w:t xml:space="preserve">         </w:t>
      </w:r>
      <w:r>
        <w:rPr>
          <w:rFonts w:hint="eastAsia" w:ascii="仿宋_GB2312" w:eastAsia="仿宋_GB2312" w:cs="仿宋_GB2312"/>
        </w:rPr>
        <w:t>的规定，学校认定为</w:t>
      </w:r>
      <w:r>
        <w:rPr>
          <w:rFonts w:ascii="仿宋_GB2312" w:eastAsia="仿宋_GB2312" w:cs="仿宋_GB2312"/>
          <w:u w:val="single"/>
        </w:rPr>
        <w:t xml:space="preserve">       </w:t>
      </w:r>
      <w:r>
        <w:rPr>
          <w:rFonts w:hint="eastAsia" w:ascii="仿宋_GB2312" w:eastAsia="仿宋_GB2312" w:cs="仿宋_GB2312"/>
        </w:rPr>
        <w:t>教学事故，决定给予</w:t>
      </w:r>
      <w:r>
        <w:rPr>
          <w:rFonts w:ascii="仿宋_GB2312" w:eastAsia="仿宋_GB2312" w:cs="仿宋_GB2312"/>
          <w:u w:val="single"/>
        </w:rPr>
        <w:t xml:space="preserve">        </w:t>
      </w:r>
      <w:r>
        <w:rPr>
          <w:rFonts w:hint="eastAsia" w:ascii="仿宋_GB2312" w:eastAsia="仿宋_GB2312" w:cs="仿宋_GB2312"/>
        </w:rPr>
        <w:t>处分。</w:t>
      </w:r>
      <w:r>
        <w:rPr>
          <w:rFonts w:ascii="仿宋_GB2312" w:eastAsia="仿宋_GB2312" w:cs="仿宋_GB2312"/>
        </w:rPr>
        <w:t xml:space="preserve">                   </w:t>
      </w:r>
    </w:p>
    <w:p>
      <w:pPr>
        <w:ind w:firstLine="31680"/>
        <w:rPr>
          <w:rFonts w:ascii="仿宋_GB2312" w:eastAsia="仿宋_GB2312" w:cs="Times New Roman"/>
        </w:rPr>
      </w:pPr>
      <w:r>
        <w:rPr>
          <w:rFonts w:hint="eastAsia" w:ascii="仿宋_GB2312" w:eastAsia="仿宋_GB2312" w:cs="仿宋_GB2312"/>
        </w:rPr>
        <w:t>若你对学校处理有异议，可在接到本通知书后的</w:t>
      </w:r>
      <w:r>
        <w:rPr>
          <w:rFonts w:ascii="仿宋_GB2312" w:eastAsia="仿宋_GB2312" w:cs="仿宋_GB2312"/>
        </w:rPr>
        <w:t>5</w:t>
      </w:r>
      <w:r>
        <w:rPr>
          <w:rFonts w:hint="eastAsia" w:ascii="仿宋_GB2312" w:eastAsia="仿宋_GB2312" w:cs="仿宋_GB2312"/>
        </w:rPr>
        <w:t>个工作日内，向学校教师申诉处理委员会提出申诉。</w:t>
      </w:r>
    </w:p>
    <w:p>
      <w:pPr>
        <w:ind w:firstLine="31680"/>
        <w:jc w:val="center"/>
        <w:rPr>
          <w:rFonts w:ascii="仿宋_GB2312" w:eastAsia="仿宋_GB2312" w:cs="Times New Roman"/>
        </w:rPr>
      </w:pPr>
      <w:r>
        <w:rPr>
          <w:rFonts w:hint="eastAsia" w:ascii="华文仿宋" w:hAnsi="华文仿宋" w:eastAsia="华文仿宋" w:cs="华文仿宋"/>
          <w:color w:val="FF0000"/>
          <w:sz w:val="32"/>
          <w:szCs w:val="32"/>
        </w:rPr>
        <w:t>教学质量监控与评估中心</w:t>
      </w:r>
      <w:r>
        <w:rPr>
          <w:rFonts w:hint="eastAsia" w:ascii="仿宋_GB2312" w:eastAsia="仿宋_GB2312" w:cs="仿宋_GB2312"/>
        </w:rPr>
        <w:t>主任签字：</w:t>
      </w:r>
      <w:r>
        <w:rPr>
          <w:rFonts w:ascii="仿宋_GB2312" w:eastAsia="仿宋_GB2312" w:cs="仿宋_GB2312"/>
          <w:u w:val="single"/>
        </w:rPr>
        <w:t xml:space="preserve">          </w:t>
      </w:r>
      <w:r>
        <w:rPr>
          <w:rFonts w:ascii="仿宋_GB2312" w:eastAsia="仿宋_GB2312" w:cs="仿宋_GB2312"/>
        </w:rPr>
        <w:t xml:space="preserve">  </w:t>
      </w:r>
      <w:r>
        <w:rPr>
          <w:rFonts w:hint="eastAsia" w:ascii="仿宋_GB2312" w:eastAsia="仿宋_GB2312" w:cs="仿宋_GB2312"/>
        </w:rPr>
        <w:t>（公章）</w:t>
      </w:r>
    </w:p>
    <w:p>
      <w:pPr>
        <w:ind w:firstLine="31680"/>
        <w:jc w:val="right"/>
        <w:rPr>
          <w:rFonts w:ascii="仿宋_GB2312" w:eastAsia="仿宋_GB2312" w:cs="Times New Roman"/>
        </w:rPr>
      </w:pPr>
      <w:r>
        <w:rPr>
          <w:rFonts w:hint="eastAsia" w:ascii="仿宋_GB2312" w:eastAsia="仿宋_GB2312" w:cs="仿宋_GB2312"/>
        </w:rPr>
        <w:t>年</w:t>
      </w:r>
      <w:r>
        <w:rPr>
          <w:rFonts w:ascii="仿宋_GB2312" w:eastAsia="仿宋_GB2312" w:cs="仿宋_GB2312"/>
        </w:rPr>
        <w:t xml:space="preserve">    </w:t>
      </w:r>
      <w:r>
        <w:rPr>
          <w:rFonts w:hint="eastAsia" w:ascii="仿宋_GB2312" w:eastAsia="仿宋_GB2312" w:cs="仿宋_GB2312"/>
        </w:rPr>
        <w:t>月</w:t>
      </w:r>
      <w:r>
        <w:rPr>
          <w:rFonts w:ascii="仿宋_GB2312" w:eastAsia="仿宋_GB2312" w:cs="仿宋_GB2312"/>
        </w:rPr>
        <w:t xml:space="preserve">    </w:t>
      </w:r>
      <w:r>
        <w:rPr>
          <w:rFonts w:hint="eastAsia" w:ascii="仿宋_GB2312" w:eastAsia="仿宋_GB2312" w:cs="仿宋_GB2312"/>
        </w:rPr>
        <w:t>日</w:t>
      </w:r>
    </w:p>
    <w:p>
      <w:pPr>
        <w:ind w:firstLine="31680" w:firstLineChars="1300"/>
        <w:rPr>
          <w:rFonts w:ascii="仿宋_GB2312" w:eastAsia="仿宋_GB2312" w:cs="仿宋_GB2312"/>
          <w:u w:val="single"/>
        </w:rPr>
      </w:pPr>
      <w:r>
        <w:rPr>
          <w:rFonts w:hint="eastAsia" w:ascii="仿宋_GB2312" w:eastAsia="仿宋_GB2312" w:cs="仿宋_GB2312"/>
        </w:rPr>
        <w:t>教学事故责任人签收：</w:t>
      </w:r>
      <w:r>
        <w:rPr>
          <w:rFonts w:ascii="仿宋_GB2312" w:eastAsia="仿宋_GB2312" w:cs="仿宋_GB2312"/>
          <w:u w:val="single"/>
        </w:rPr>
        <w:t xml:space="preserve">              </w:t>
      </w:r>
    </w:p>
    <w:p>
      <w:pPr>
        <w:ind w:firstLine="31680" w:firstLineChars="1300"/>
        <w:rPr>
          <w:rFonts w:ascii="仿宋_GB2312" w:eastAsia="仿宋_GB2312" w:cs="仿宋_GB2312"/>
          <w:u w:val="single"/>
        </w:rPr>
      </w:pPr>
    </w:p>
    <w:p>
      <w:pPr>
        <w:pStyle w:val="12"/>
        <w:spacing w:beforeLines="100"/>
        <w:rPr>
          <w:rFonts w:cs="Times New Roman"/>
        </w:rPr>
      </w:pPr>
      <w:r>
        <w:pict>
          <v:line id="Line 13" o:spid="_x0000_s1026" o:spt="20" style="position:absolute;left:0pt;margin-left:-18pt;margin-top:7.2pt;height:0pt;width:459pt;z-index:251658240;mso-width-relative:page;mso-height-relative:page;" coordsize="21600,21600">
            <v:path arrowok="t"/>
            <v:fill focussize="0,0"/>
            <v:stroke dashstyle="dashDot"/>
            <v:imagedata o:title=""/>
            <o:lock v:ext="edit"/>
          </v:line>
        </w:pict>
      </w:r>
      <w:r>
        <w:rPr>
          <w:rFonts w:hint="eastAsia" w:cs="黑体"/>
        </w:rPr>
        <w:t>延边大学本科教学事故处理通知书</w:t>
      </w:r>
    </w:p>
    <w:p>
      <w:pPr>
        <w:pStyle w:val="12"/>
        <w:rPr>
          <w:rFonts w:cs="Times New Roman"/>
        </w:rPr>
      </w:pPr>
    </w:p>
    <w:p>
      <w:pPr>
        <w:ind w:firstLine="31680"/>
        <w:rPr>
          <w:rFonts w:ascii="仿宋_GB2312" w:eastAsia="仿宋_GB2312" w:cs="Times New Roman"/>
        </w:rPr>
      </w:pPr>
      <w:r>
        <w:rPr>
          <w:rFonts w:ascii="仿宋_GB2312" w:eastAsia="仿宋_GB2312" w:cs="仿宋_GB2312"/>
          <w:u w:val="single"/>
        </w:rPr>
        <w:t xml:space="preserve">                    </w:t>
      </w:r>
      <w:r>
        <w:rPr>
          <w:rFonts w:hint="eastAsia" w:ascii="仿宋_GB2312" w:eastAsia="仿宋_GB2312" w:cs="仿宋_GB2312"/>
        </w:rPr>
        <w:t>：</w:t>
      </w:r>
    </w:p>
    <w:p>
      <w:pPr>
        <w:ind w:firstLine="31680"/>
        <w:rPr>
          <w:rFonts w:ascii="仿宋_GB2312" w:eastAsia="仿宋_GB2312" w:cs="Times New Roman"/>
        </w:rPr>
      </w:pPr>
      <w:r>
        <w:rPr>
          <w:rFonts w:hint="eastAsia" w:ascii="仿宋_GB2312" w:eastAsia="仿宋_GB2312" w:cs="仿宋_GB2312"/>
        </w:rPr>
        <w:t>你于</w:t>
      </w:r>
      <w:r>
        <w:rPr>
          <w:rFonts w:ascii="仿宋_GB2312" w:eastAsia="仿宋_GB2312" w:cs="仿宋_GB2312"/>
        </w:rPr>
        <w:t xml:space="preserve">       </w:t>
      </w:r>
      <w:r>
        <w:rPr>
          <w:rFonts w:hint="eastAsia" w:ascii="仿宋_GB2312" w:eastAsia="仿宋_GB2312" w:cs="仿宋_GB2312"/>
        </w:rPr>
        <w:t>年</w:t>
      </w:r>
      <w:r>
        <w:rPr>
          <w:rFonts w:ascii="仿宋_GB2312" w:eastAsia="仿宋_GB2312" w:cs="仿宋_GB2312"/>
        </w:rPr>
        <w:t xml:space="preserve">   </w:t>
      </w:r>
      <w:r>
        <w:rPr>
          <w:rFonts w:hint="eastAsia" w:ascii="仿宋_GB2312" w:eastAsia="仿宋_GB2312" w:cs="仿宋_GB2312"/>
        </w:rPr>
        <w:t>月</w:t>
      </w:r>
      <w:r>
        <w:rPr>
          <w:rFonts w:ascii="仿宋_GB2312" w:eastAsia="仿宋_GB2312" w:cs="仿宋_GB2312"/>
        </w:rPr>
        <w:t xml:space="preserve">   </w:t>
      </w:r>
      <w:r>
        <w:rPr>
          <w:rFonts w:hint="eastAsia" w:ascii="仿宋_GB2312" w:eastAsia="仿宋_GB2312" w:cs="仿宋_GB2312"/>
        </w:rPr>
        <w:t>日发生的</w:t>
      </w:r>
      <w:r>
        <w:rPr>
          <w:rFonts w:ascii="仿宋_GB2312" w:eastAsia="仿宋_GB2312" w:cs="仿宋_GB2312"/>
          <w:u w:val="single"/>
        </w:rPr>
        <w:t xml:space="preserve">                         </w:t>
      </w:r>
      <w:r>
        <w:rPr>
          <w:rFonts w:hint="eastAsia" w:ascii="仿宋_GB2312" w:eastAsia="仿宋_GB2312" w:cs="仿宋_GB2312"/>
        </w:rPr>
        <w:t>，违反了《延边大学本科教学事故认定及处理办法》第</w:t>
      </w:r>
      <w:r>
        <w:rPr>
          <w:rFonts w:ascii="仿宋_GB2312" w:eastAsia="仿宋_GB2312" w:cs="仿宋_GB2312"/>
        </w:rPr>
        <w:t xml:space="preserve">         </w:t>
      </w:r>
      <w:r>
        <w:rPr>
          <w:rFonts w:hint="eastAsia" w:ascii="仿宋_GB2312" w:eastAsia="仿宋_GB2312" w:cs="仿宋_GB2312"/>
        </w:rPr>
        <w:t>的规定，学校认定为</w:t>
      </w:r>
      <w:r>
        <w:rPr>
          <w:rFonts w:ascii="仿宋_GB2312" w:eastAsia="仿宋_GB2312" w:cs="仿宋_GB2312"/>
          <w:u w:val="single"/>
        </w:rPr>
        <w:t xml:space="preserve">       </w:t>
      </w:r>
      <w:r>
        <w:rPr>
          <w:rFonts w:hint="eastAsia" w:ascii="仿宋_GB2312" w:eastAsia="仿宋_GB2312" w:cs="仿宋_GB2312"/>
        </w:rPr>
        <w:t>教学事故，决定给予</w:t>
      </w:r>
      <w:r>
        <w:rPr>
          <w:rFonts w:ascii="仿宋_GB2312" w:eastAsia="仿宋_GB2312" w:cs="仿宋_GB2312"/>
          <w:u w:val="single"/>
        </w:rPr>
        <w:t xml:space="preserve">        </w:t>
      </w:r>
      <w:r>
        <w:rPr>
          <w:rFonts w:hint="eastAsia" w:ascii="仿宋_GB2312" w:eastAsia="仿宋_GB2312" w:cs="仿宋_GB2312"/>
        </w:rPr>
        <w:t>处分。</w:t>
      </w:r>
    </w:p>
    <w:p>
      <w:pPr>
        <w:ind w:firstLine="31680"/>
        <w:rPr>
          <w:rFonts w:ascii="仿宋_GB2312" w:eastAsia="仿宋_GB2312" w:cs="Times New Roman"/>
        </w:rPr>
      </w:pPr>
      <w:r>
        <w:rPr>
          <w:rFonts w:hint="eastAsia" w:ascii="仿宋_GB2312" w:eastAsia="仿宋_GB2312" w:cs="仿宋_GB2312"/>
        </w:rPr>
        <w:t>若你对学校处理有异议，可在接到本通知书后的</w:t>
      </w:r>
      <w:r>
        <w:rPr>
          <w:rFonts w:ascii="仿宋_GB2312" w:eastAsia="仿宋_GB2312" w:cs="仿宋_GB2312"/>
        </w:rPr>
        <w:t>5</w:t>
      </w:r>
      <w:r>
        <w:rPr>
          <w:rFonts w:hint="eastAsia" w:ascii="仿宋_GB2312" w:eastAsia="仿宋_GB2312" w:cs="仿宋_GB2312"/>
        </w:rPr>
        <w:t>个工作日内，向学校教师申诉处理委员会提出申诉。</w:t>
      </w:r>
    </w:p>
    <w:p>
      <w:pPr>
        <w:ind w:firstLine="31680"/>
        <w:jc w:val="right"/>
        <w:rPr>
          <w:rFonts w:ascii="仿宋_GB2312" w:eastAsia="仿宋_GB2312" w:cs="Times New Roman"/>
        </w:rPr>
      </w:pPr>
      <w:r>
        <w:rPr>
          <w:rFonts w:ascii="仿宋_GB2312" w:eastAsia="仿宋_GB2312" w:cs="仿宋_GB2312"/>
        </w:rPr>
        <w:t xml:space="preserve"> </w:t>
      </w:r>
      <w:r>
        <w:rPr>
          <w:rFonts w:hint="eastAsia" w:ascii="华文仿宋" w:hAnsi="华文仿宋" w:eastAsia="华文仿宋" w:cs="华文仿宋"/>
          <w:color w:val="FF0000"/>
          <w:sz w:val="32"/>
          <w:szCs w:val="32"/>
        </w:rPr>
        <w:t>教学质量监控与评估中心</w:t>
      </w:r>
      <w:r>
        <w:rPr>
          <w:rFonts w:hint="eastAsia" w:ascii="仿宋_GB2312" w:eastAsia="仿宋_GB2312" w:cs="仿宋_GB2312"/>
        </w:rPr>
        <w:t>主任签字：</w:t>
      </w:r>
      <w:r>
        <w:rPr>
          <w:rFonts w:ascii="仿宋_GB2312" w:eastAsia="仿宋_GB2312" w:cs="仿宋_GB2312"/>
          <w:u w:val="single"/>
        </w:rPr>
        <w:t xml:space="preserve">           </w:t>
      </w:r>
      <w:r>
        <w:rPr>
          <w:rFonts w:ascii="仿宋_GB2312" w:eastAsia="仿宋_GB2312" w:cs="仿宋_GB2312"/>
        </w:rPr>
        <w:t xml:space="preserve">  </w:t>
      </w:r>
      <w:r>
        <w:rPr>
          <w:rFonts w:hint="eastAsia" w:ascii="仿宋_GB2312" w:eastAsia="仿宋_GB2312" w:cs="仿宋_GB2312"/>
        </w:rPr>
        <w:t>（公章）</w:t>
      </w:r>
      <w:r>
        <w:rPr>
          <w:rFonts w:ascii="仿宋_GB2312" w:eastAsia="仿宋_GB2312" w:cs="仿宋_GB2312"/>
        </w:rPr>
        <w:t xml:space="preserve">                                                   </w:t>
      </w:r>
      <w:r>
        <w:rPr>
          <w:rFonts w:hint="eastAsia" w:ascii="仿宋_GB2312" w:eastAsia="仿宋_GB2312" w:cs="仿宋_GB2312"/>
        </w:rPr>
        <w:t>年</w:t>
      </w:r>
      <w:r>
        <w:rPr>
          <w:rFonts w:ascii="仿宋_GB2312" w:eastAsia="仿宋_GB2312" w:cs="仿宋_GB2312"/>
        </w:rPr>
        <w:t xml:space="preserve">    </w:t>
      </w:r>
      <w:r>
        <w:rPr>
          <w:rFonts w:hint="eastAsia" w:ascii="仿宋_GB2312" w:eastAsia="仿宋_GB2312" w:cs="仿宋_GB2312"/>
        </w:rPr>
        <w:t>月</w:t>
      </w:r>
      <w:r>
        <w:rPr>
          <w:rFonts w:ascii="仿宋_GB2312" w:eastAsia="仿宋_GB2312" w:cs="仿宋_GB2312"/>
        </w:rPr>
        <w:t xml:space="preserve">    </w:t>
      </w:r>
      <w:r>
        <w:rPr>
          <w:rFonts w:hint="eastAsia" w:ascii="仿宋_GB2312" w:eastAsia="仿宋_GB2312" w:cs="仿宋_GB2312"/>
        </w:rPr>
        <w:t>日</w:t>
      </w:r>
    </w:p>
    <w:p>
      <w:pPr>
        <w:widowControl/>
        <w:adjustRightInd/>
        <w:snapToGrid/>
        <w:spacing w:line="240" w:lineRule="auto"/>
        <w:ind w:firstLine="0" w:firstLineChars="0"/>
        <w:rPr>
          <w:rFonts w:cs="Times New Roman"/>
        </w:rPr>
      </w:pPr>
      <w:r>
        <w:rPr>
          <w:rFonts w:cs="Times New Roman"/>
        </w:rPr>
        <w:br w:type="page"/>
      </w:r>
    </w:p>
    <w:p>
      <w:pPr>
        <w:ind w:firstLine="31680"/>
      </w:pPr>
      <w:r>
        <w:rPr>
          <w:rFonts w:hint="eastAsia"/>
        </w:rPr>
        <w:t>附件</w:t>
      </w:r>
      <w:r>
        <w:t>3</w:t>
      </w:r>
    </w:p>
    <w:p>
      <w:pPr>
        <w:pStyle w:val="12"/>
        <w:rPr>
          <w:rFonts w:cs="Times New Roman"/>
        </w:rPr>
      </w:pPr>
      <w:r>
        <w:rPr>
          <w:rFonts w:hint="eastAsia" w:cs="黑体"/>
        </w:rPr>
        <w:t>延边大学教学事故申诉申请书</w:t>
      </w:r>
    </w:p>
    <w:p>
      <w:pPr>
        <w:pStyle w:val="12"/>
        <w:rPr>
          <w:rFonts w:cs="Times New Roman"/>
        </w:rPr>
      </w:pPr>
    </w:p>
    <w:tbl>
      <w:tblPr>
        <w:tblStyle w:val="14"/>
        <w:tblpPr w:leftFromText="180" w:rightFromText="180" w:vertAnchor="text" w:horzAnchor="page" w:tblpXSpec="center" w:tblpY="534"/>
        <w:tblOverlap w:val="never"/>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1898"/>
        <w:gridCol w:w="1546"/>
        <w:gridCol w:w="3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979" w:type="dxa"/>
            <w:vAlign w:val="center"/>
          </w:tcPr>
          <w:p>
            <w:pPr>
              <w:ind w:firstLine="0" w:firstLineChars="0"/>
              <w:jc w:val="center"/>
              <w:rPr>
                <w:rFonts w:ascii="宋体" w:hAnsi="宋体" w:eastAsia="宋体" w:cs="Times New Roman"/>
              </w:rPr>
            </w:pPr>
            <w:r>
              <w:rPr>
                <w:rFonts w:hint="eastAsia" w:ascii="宋体" w:hAnsi="宋体" w:eastAsia="宋体" w:cs="宋体"/>
              </w:rPr>
              <w:t>申诉人姓名</w:t>
            </w:r>
          </w:p>
        </w:tc>
        <w:tc>
          <w:tcPr>
            <w:tcW w:w="1898" w:type="dxa"/>
            <w:vAlign w:val="center"/>
          </w:tcPr>
          <w:p>
            <w:pPr>
              <w:ind w:firstLine="0" w:firstLineChars="0"/>
              <w:jc w:val="center"/>
              <w:rPr>
                <w:rFonts w:ascii="宋体" w:hAnsi="宋体" w:eastAsia="宋体" w:cs="Times New Roman"/>
              </w:rPr>
            </w:pPr>
          </w:p>
        </w:tc>
        <w:tc>
          <w:tcPr>
            <w:tcW w:w="1546" w:type="dxa"/>
            <w:vAlign w:val="center"/>
          </w:tcPr>
          <w:p>
            <w:pPr>
              <w:ind w:firstLine="0" w:firstLineChars="0"/>
              <w:jc w:val="center"/>
              <w:rPr>
                <w:rFonts w:ascii="宋体" w:hAnsi="宋体" w:eastAsia="宋体" w:cs="Times New Roman"/>
              </w:rPr>
            </w:pPr>
            <w:r>
              <w:rPr>
                <w:rFonts w:hint="eastAsia" w:ascii="宋体" w:hAnsi="宋体" w:eastAsia="宋体" w:cs="宋体"/>
              </w:rPr>
              <w:t>所在部门</w:t>
            </w:r>
          </w:p>
        </w:tc>
        <w:tc>
          <w:tcPr>
            <w:tcW w:w="3115" w:type="dxa"/>
            <w:vAlign w:val="center"/>
          </w:tcPr>
          <w:p>
            <w:pPr>
              <w:ind w:firstLine="0" w:firstLineChars="0"/>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979" w:type="dxa"/>
            <w:vAlign w:val="center"/>
          </w:tcPr>
          <w:p>
            <w:pPr>
              <w:ind w:firstLine="0" w:firstLineChars="0"/>
              <w:jc w:val="center"/>
              <w:rPr>
                <w:rFonts w:ascii="宋体" w:hAnsi="宋体" w:eastAsia="宋体" w:cs="Times New Roman"/>
              </w:rPr>
            </w:pPr>
            <w:r>
              <w:rPr>
                <w:rFonts w:hint="eastAsia" w:ascii="宋体" w:hAnsi="宋体" w:eastAsia="宋体" w:cs="宋体"/>
              </w:rPr>
              <w:t>教学事故名称</w:t>
            </w:r>
          </w:p>
        </w:tc>
        <w:tc>
          <w:tcPr>
            <w:tcW w:w="6559" w:type="dxa"/>
            <w:gridSpan w:val="3"/>
            <w:vAlign w:val="center"/>
          </w:tcPr>
          <w:p>
            <w:pPr>
              <w:ind w:firstLine="0" w:firstLineChars="0"/>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1979" w:type="dxa"/>
            <w:vAlign w:val="center"/>
          </w:tcPr>
          <w:p>
            <w:pPr>
              <w:ind w:firstLine="0" w:firstLineChars="0"/>
              <w:jc w:val="center"/>
              <w:rPr>
                <w:rFonts w:ascii="宋体" w:hAnsi="宋体" w:eastAsia="宋体" w:cs="Times New Roman"/>
              </w:rPr>
            </w:pPr>
            <w:r>
              <w:rPr>
                <w:rFonts w:hint="eastAsia" w:ascii="宋体" w:hAnsi="宋体" w:eastAsia="宋体" w:cs="宋体"/>
              </w:rPr>
              <w:t>教学事故级别</w:t>
            </w:r>
          </w:p>
        </w:tc>
        <w:tc>
          <w:tcPr>
            <w:tcW w:w="1898" w:type="dxa"/>
            <w:vAlign w:val="center"/>
          </w:tcPr>
          <w:p>
            <w:pPr>
              <w:ind w:firstLine="0" w:firstLineChars="0"/>
              <w:jc w:val="center"/>
              <w:rPr>
                <w:rFonts w:ascii="宋体" w:hAnsi="宋体" w:eastAsia="宋体" w:cs="Times New Roman"/>
              </w:rPr>
            </w:pPr>
          </w:p>
        </w:tc>
        <w:tc>
          <w:tcPr>
            <w:tcW w:w="1546" w:type="dxa"/>
            <w:vAlign w:val="center"/>
          </w:tcPr>
          <w:p>
            <w:pPr>
              <w:ind w:firstLine="0" w:firstLineChars="0"/>
              <w:jc w:val="center"/>
              <w:rPr>
                <w:rFonts w:ascii="宋体" w:hAnsi="宋体" w:eastAsia="宋体" w:cs="Times New Roman"/>
              </w:rPr>
            </w:pPr>
            <w:r>
              <w:rPr>
                <w:rFonts w:hint="eastAsia" w:ascii="宋体" w:hAnsi="宋体" w:eastAsia="宋体" w:cs="宋体"/>
              </w:rPr>
              <w:t>联系方式</w:t>
            </w:r>
          </w:p>
        </w:tc>
        <w:tc>
          <w:tcPr>
            <w:tcW w:w="3115" w:type="dxa"/>
            <w:vAlign w:val="center"/>
          </w:tcPr>
          <w:p>
            <w:pPr>
              <w:ind w:firstLine="0" w:firstLineChars="0"/>
              <w:jc w:val="center"/>
              <w:rPr>
                <w:rFonts w:ascii="宋体" w:hAnsi="宋体"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8538" w:type="dxa"/>
            <w:gridSpan w:val="4"/>
            <w:vAlign w:val="center"/>
          </w:tcPr>
          <w:p>
            <w:pPr>
              <w:ind w:firstLine="0" w:firstLineChars="0"/>
              <w:rPr>
                <w:rFonts w:ascii="宋体" w:hAnsi="宋体" w:eastAsia="宋体" w:cs="Times New Roman"/>
              </w:rPr>
            </w:pPr>
            <w:r>
              <w:rPr>
                <w:rFonts w:hint="eastAsia" w:ascii="宋体" w:hAnsi="宋体" w:eastAsia="宋体" w:cs="宋体"/>
              </w:rPr>
              <w:t>申诉的事项、理由及要求：</w:t>
            </w:r>
          </w:p>
          <w:p>
            <w:pPr>
              <w:ind w:firstLine="0" w:firstLineChars="0"/>
              <w:jc w:val="center"/>
              <w:rPr>
                <w:rFonts w:ascii="宋体" w:hAnsi="宋体" w:eastAsia="宋体" w:cs="Times New Roman"/>
              </w:rPr>
            </w:pPr>
          </w:p>
          <w:p>
            <w:pPr>
              <w:ind w:firstLine="0" w:firstLineChars="0"/>
              <w:jc w:val="center"/>
              <w:rPr>
                <w:rFonts w:ascii="宋体" w:hAnsi="宋体" w:eastAsia="宋体" w:cs="Times New Roman"/>
              </w:rPr>
            </w:pPr>
          </w:p>
          <w:p>
            <w:pPr>
              <w:ind w:firstLine="0" w:firstLineChars="0"/>
              <w:jc w:val="center"/>
              <w:rPr>
                <w:rFonts w:ascii="宋体" w:hAnsi="宋体" w:eastAsia="宋体" w:cs="Times New Roman"/>
              </w:rPr>
            </w:pPr>
          </w:p>
          <w:p>
            <w:pPr>
              <w:ind w:firstLine="0" w:firstLineChars="0"/>
              <w:jc w:val="center"/>
              <w:rPr>
                <w:rFonts w:ascii="宋体" w:hAnsi="宋体" w:eastAsia="宋体" w:cs="Times New Roman"/>
              </w:rPr>
            </w:pPr>
          </w:p>
          <w:p>
            <w:pPr>
              <w:ind w:firstLine="0" w:firstLineChars="0"/>
              <w:jc w:val="center"/>
              <w:rPr>
                <w:rFonts w:ascii="宋体" w:hAnsi="宋体" w:eastAsia="宋体" w:cs="Times New Roman"/>
              </w:rPr>
            </w:pPr>
          </w:p>
          <w:p>
            <w:pPr>
              <w:ind w:firstLine="0" w:firstLineChars="0"/>
              <w:jc w:val="center"/>
              <w:rPr>
                <w:rFonts w:ascii="宋体" w:hAnsi="宋体" w:eastAsia="宋体" w:cs="Times New Roman"/>
              </w:rPr>
            </w:pPr>
          </w:p>
          <w:p>
            <w:pPr>
              <w:ind w:firstLine="0" w:firstLineChars="0"/>
              <w:jc w:val="center"/>
              <w:rPr>
                <w:rFonts w:ascii="宋体" w:hAnsi="宋体" w:eastAsia="宋体" w:cs="Times New Roman"/>
              </w:rPr>
            </w:pPr>
          </w:p>
          <w:p>
            <w:pPr>
              <w:ind w:firstLine="0" w:firstLineChars="0"/>
              <w:jc w:val="center"/>
              <w:rPr>
                <w:rFonts w:ascii="宋体" w:hAnsi="宋体" w:eastAsia="宋体" w:cs="Times New Roman"/>
              </w:rPr>
            </w:pPr>
          </w:p>
          <w:p>
            <w:pPr>
              <w:ind w:firstLine="0" w:firstLineChars="0"/>
              <w:jc w:val="center"/>
              <w:rPr>
                <w:rFonts w:ascii="宋体" w:hAnsi="宋体" w:eastAsia="宋体" w:cs="Times New Roman"/>
              </w:rPr>
            </w:pPr>
          </w:p>
          <w:p>
            <w:pPr>
              <w:ind w:firstLine="0" w:firstLineChars="0"/>
              <w:jc w:val="center"/>
              <w:rPr>
                <w:rFonts w:ascii="宋体" w:hAnsi="宋体" w:eastAsia="宋体" w:cs="Times New Roman"/>
              </w:rPr>
            </w:pPr>
          </w:p>
          <w:p>
            <w:pPr>
              <w:ind w:firstLine="0" w:firstLineChars="0"/>
              <w:jc w:val="center"/>
              <w:rPr>
                <w:rFonts w:ascii="宋体" w:hAnsi="宋体" w:eastAsia="宋体" w:cs="Times New Roman"/>
              </w:rPr>
            </w:pPr>
          </w:p>
          <w:p>
            <w:pPr>
              <w:ind w:firstLine="0" w:firstLineChars="0"/>
              <w:jc w:val="center"/>
              <w:rPr>
                <w:rFonts w:ascii="宋体" w:hAnsi="宋体" w:eastAsia="宋体" w:cs="Times New Roman"/>
              </w:rPr>
            </w:pPr>
          </w:p>
          <w:p>
            <w:pPr>
              <w:ind w:firstLine="0" w:firstLineChars="0"/>
              <w:jc w:val="center"/>
              <w:rPr>
                <w:rFonts w:ascii="宋体" w:hAnsi="宋体" w:eastAsia="宋体" w:cs="Times New Roman"/>
              </w:rPr>
            </w:pPr>
          </w:p>
          <w:p>
            <w:pPr>
              <w:ind w:firstLine="0" w:firstLineChars="0"/>
              <w:jc w:val="center"/>
              <w:rPr>
                <w:rFonts w:ascii="宋体" w:hAnsi="宋体" w:eastAsia="宋体" w:cs="Times New Roman"/>
              </w:rPr>
            </w:pPr>
            <w:r>
              <w:rPr>
                <w:rFonts w:hint="eastAsia" w:ascii="宋体" w:hAnsi="宋体" w:eastAsia="宋体" w:cs="宋体"/>
              </w:rPr>
              <w:t>申诉人签名：</w:t>
            </w:r>
          </w:p>
          <w:p>
            <w:pPr>
              <w:pStyle w:val="11"/>
              <w:ind w:right="31680"/>
              <w:rPr>
                <w:rFonts w:cs="Times New Roman"/>
              </w:rPr>
            </w:pP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8538" w:type="dxa"/>
            <w:gridSpan w:val="4"/>
            <w:vAlign w:val="center"/>
          </w:tcPr>
          <w:p>
            <w:pPr>
              <w:ind w:firstLine="0" w:firstLineChars="0"/>
              <w:rPr>
                <w:rFonts w:ascii="宋体" w:hAnsi="宋体" w:eastAsia="宋体" w:cs="Times New Roman"/>
              </w:rPr>
            </w:pPr>
            <w:r>
              <w:rPr>
                <w:rFonts w:hint="eastAsia" w:ascii="宋体" w:hAnsi="宋体" w:eastAsia="宋体" w:cs="宋体"/>
              </w:rPr>
              <w:t>注：须附上相关文件及证据</w:t>
            </w:r>
          </w:p>
        </w:tc>
      </w:tr>
    </w:tbl>
    <w:p>
      <w:pPr>
        <w:ind w:firstLine="31680"/>
        <w:rPr>
          <w:rFonts w:cs="Times New Roman"/>
        </w:rPr>
      </w:pPr>
    </w:p>
    <w:sectPr>
      <w:headerReference r:id="rId3" w:type="default"/>
      <w:footerReference r:id="rId4" w:type="default"/>
      <w:pgSz w:w="11906" w:h="16838"/>
      <w:pgMar w:top="1440" w:right="1800" w:bottom="1440" w:left="1800" w:header="851" w:footer="850"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1680"/>
      <w:jc w:val="center"/>
      <w:rPr>
        <w:rFonts w:cs="Times New Roman"/>
      </w:rPr>
    </w:pPr>
    <w:r>
      <w:fldChar w:fldCharType="begin"/>
    </w:r>
    <w:r>
      <w:instrText xml:space="preserve"> PAGE   \* MERGEFORMAT </w:instrText>
    </w:r>
    <w:r>
      <w:fldChar w:fldCharType="separate"/>
    </w:r>
    <w:r>
      <w:rPr>
        <w:lang w:val="zh-CN"/>
      </w:rPr>
      <w:t>7</w:t>
    </w:r>
    <w:r>
      <w:fldChar w:fldCharType="end"/>
    </w:r>
  </w:p>
  <w:p>
    <w:pPr>
      <w:pStyle w:val="6"/>
      <w:ind w:firstLine="31680"/>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1680"/>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oNotHyphenateCaps/>
  <w:drawingGridHorizontalSpacing w:val="140"/>
  <w:drawingGridVerticalSpacing w:val="381"/>
  <w:displayHorizontalDrawingGridEvery w:val="0"/>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18CC"/>
    <w:rsid w:val="00002D57"/>
    <w:rsid w:val="00023C08"/>
    <w:rsid w:val="00031F8F"/>
    <w:rsid w:val="00032A87"/>
    <w:rsid w:val="000462C9"/>
    <w:rsid w:val="0005204C"/>
    <w:rsid w:val="0005597F"/>
    <w:rsid w:val="00090ECF"/>
    <w:rsid w:val="000A71F9"/>
    <w:rsid w:val="000B2C27"/>
    <w:rsid w:val="00102D87"/>
    <w:rsid w:val="00133D20"/>
    <w:rsid w:val="00145E1A"/>
    <w:rsid w:val="001741B3"/>
    <w:rsid w:val="001C1622"/>
    <w:rsid w:val="001C7973"/>
    <w:rsid w:val="001F4D42"/>
    <w:rsid w:val="0023537C"/>
    <w:rsid w:val="00254454"/>
    <w:rsid w:val="00255D28"/>
    <w:rsid w:val="00265D2D"/>
    <w:rsid w:val="00267643"/>
    <w:rsid w:val="00272D50"/>
    <w:rsid w:val="002752F3"/>
    <w:rsid w:val="00292CA4"/>
    <w:rsid w:val="002A200B"/>
    <w:rsid w:val="002A7CF5"/>
    <w:rsid w:val="002D2FA2"/>
    <w:rsid w:val="002E20F7"/>
    <w:rsid w:val="002F2CD6"/>
    <w:rsid w:val="0030706C"/>
    <w:rsid w:val="00307EF8"/>
    <w:rsid w:val="0033009B"/>
    <w:rsid w:val="00362E80"/>
    <w:rsid w:val="00365D4D"/>
    <w:rsid w:val="00370F35"/>
    <w:rsid w:val="003A67FF"/>
    <w:rsid w:val="003C68B6"/>
    <w:rsid w:val="003D27AA"/>
    <w:rsid w:val="003E4617"/>
    <w:rsid w:val="003E5E83"/>
    <w:rsid w:val="00402DA7"/>
    <w:rsid w:val="00416D66"/>
    <w:rsid w:val="00443476"/>
    <w:rsid w:val="00473884"/>
    <w:rsid w:val="004C0212"/>
    <w:rsid w:val="004F63F8"/>
    <w:rsid w:val="00553A42"/>
    <w:rsid w:val="00595BCF"/>
    <w:rsid w:val="005B2E07"/>
    <w:rsid w:val="005C074E"/>
    <w:rsid w:val="005E0EE2"/>
    <w:rsid w:val="005F5C76"/>
    <w:rsid w:val="00612202"/>
    <w:rsid w:val="0062243B"/>
    <w:rsid w:val="006429FF"/>
    <w:rsid w:val="006A381B"/>
    <w:rsid w:val="006B02C5"/>
    <w:rsid w:val="006D1FFC"/>
    <w:rsid w:val="006D6810"/>
    <w:rsid w:val="00730454"/>
    <w:rsid w:val="00750530"/>
    <w:rsid w:val="00752379"/>
    <w:rsid w:val="0075506C"/>
    <w:rsid w:val="00773416"/>
    <w:rsid w:val="007A5935"/>
    <w:rsid w:val="007E462D"/>
    <w:rsid w:val="007F6805"/>
    <w:rsid w:val="008004BC"/>
    <w:rsid w:val="00812D2E"/>
    <w:rsid w:val="008222F7"/>
    <w:rsid w:val="008A578D"/>
    <w:rsid w:val="008B3CF4"/>
    <w:rsid w:val="008E0C2D"/>
    <w:rsid w:val="00923ED4"/>
    <w:rsid w:val="0093068F"/>
    <w:rsid w:val="009371D2"/>
    <w:rsid w:val="0094327E"/>
    <w:rsid w:val="00947600"/>
    <w:rsid w:val="00972E60"/>
    <w:rsid w:val="009A4532"/>
    <w:rsid w:val="009B5914"/>
    <w:rsid w:val="009C500E"/>
    <w:rsid w:val="009F4BB9"/>
    <w:rsid w:val="00A214B2"/>
    <w:rsid w:val="00A25650"/>
    <w:rsid w:val="00A4682E"/>
    <w:rsid w:val="00A7043C"/>
    <w:rsid w:val="00A71AF1"/>
    <w:rsid w:val="00B01EA0"/>
    <w:rsid w:val="00B02342"/>
    <w:rsid w:val="00B04B83"/>
    <w:rsid w:val="00B34DFD"/>
    <w:rsid w:val="00B37C62"/>
    <w:rsid w:val="00B6114A"/>
    <w:rsid w:val="00B9233E"/>
    <w:rsid w:val="00BC181E"/>
    <w:rsid w:val="00C166B2"/>
    <w:rsid w:val="00C25BF8"/>
    <w:rsid w:val="00C64947"/>
    <w:rsid w:val="00CA44C6"/>
    <w:rsid w:val="00CB6BEA"/>
    <w:rsid w:val="00CC52FD"/>
    <w:rsid w:val="00CE5A76"/>
    <w:rsid w:val="00D21D30"/>
    <w:rsid w:val="00D4761A"/>
    <w:rsid w:val="00D52DEE"/>
    <w:rsid w:val="00D93877"/>
    <w:rsid w:val="00DC6E35"/>
    <w:rsid w:val="00DC7F59"/>
    <w:rsid w:val="00DF69EC"/>
    <w:rsid w:val="00E10A56"/>
    <w:rsid w:val="00E3618A"/>
    <w:rsid w:val="00E463D0"/>
    <w:rsid w:val="00E55D50"/>
    <w:rsid w:val="00E6240D"/>
    <w:rsid w:val="00E82328"/>
    <w:rsid w:val="00EB4923"/>
    <w:rsid w:val="00EC117E"/>
    <w:rsid w:val="00ED2D4C"/>
    <w:rsid w:val="00ED4C1C"/>
    <w:rsid w:val="00ED6944"/>
    <w:rsid w:val="00EE034D"/>
    <w:rsid w:val="00F113D6"/>
    <w:rsid w:val="00F7175E"/>
    <w:rsid w:val="00F72DE2"/>
    <w:rsid w:val="00F85EC5"/>
    <w:rsid w:val="00F9236C"/>
    <w:rsid w:val="00F92627"/>
    <w:rsid w:val="00FE18CC"/>
    <w:rsid w:val="00FF0F7B"/>
    <w:rsid w:val="14035FB9"/>
    <w:rsid w:val="1A2C2A9F"/>
    <w:rsid w:val="1D1B228D"/>
    <w:rsid w:val="2462166B"/>
    <w:rsid w:val="2D270B4F"/>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qFormat="1" w:unhideWhenUsed="0" w:uiPriority="99"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qFormat="1" w:unhideWhenUsed="0" w:uiPriority="9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qFormat="1" w:unhideWhenUsed="0" w:uiPriority="99" w:semiHidden="0" w:name="Signature"/>
    <w:lsdException w:qFormat="1"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00" w:lineRule="exact"/>
      <w:ind w:firstLine="200" w:firstLineChars="200"/>
    </w:pPr>
    <w:rPr>
      <w:rFonts w:ascii="仿宋" w:hAnsi="Times New Roman" w:eastAsia="仿宋" w:cs="仿宋"/>
      <w:kern w:val="0"/>
      <w:sz w:val="28"/>
      <w:szCs w:val="28"/>
      <w:lang w:val="en-US" w:eastAsia="zh-CN" w:bidi="ar-SA"/>
    </w:rPr>
  </w:style>
  <w:style w:type="paragraph" w:styleId="2">
    <w:name w:val="heading 1"/>
    <w:basedOn w:val="1"/>
    <w:next w:val="1"/>
    <w:link w:val="15"/>
    <w:qFormat/>
    <w:uiPriority w:val="99"/>
    <w:pPr>
      <w:keepNext/>
      <w:keepLines/>
      <w:jc w:val="center"/>
      <w:outlineLvl w:val="0"/>
    </w:pPr>
    <w:rPr>
      <w:rFonts w:eastAsia="黑体"/>
      <w:kern w:val="44"/>
    </w:rPr>
  </w:style>
  <w:style w:type="paragraph" w:styleId="3">
    <w:name w:val="heading 2"/>
    <w:basedOn w:val="1"/>
    <w:next w:val="1"/>
    <w:link w:val="16"/>
    <w:qFormat/>
    <w:uiPriority w:val="99"/>
    <w:pPr>
      <w:keepNext/>
      <w:keepLines/>
      <w:ind w:firstLine="562"/>
      <w:outlineLvl w:val="1"/>
    </w:pPr>
    <w:rPr>
      <w:rFonts w:ascii="Cambria" w:hAnsi="Cambria" w:eastAsia="黑体" w:cs="Cambria"/>
    </w:rPr>
  </w:style>
  <w:style w:type="character" w:default="1" w:styleId="13">
    <w:name w:val="Default Paragraph Font"/>
    <w:semiHidden/>
    <w:qFormat/>
    <w:uiPriority w:val="99"/>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4">
    <w:name w:val="Body Text Indent"/>
    <w:basedOn w:val="1"/>
    <w:link w:val="26"/>
    <w:qFormat/>
    <w:uiPriority w:val="99"/>
    <w:pPr>
      <w:adjustRightInd/>
      <w:snapToGrid/>
      <w:spacing w:after="120" w:line="240" w:lineRule="auto"/>
      <w:ind w:left="420" w:leftChars="200" w:firstLine="0" w:firstLineChars="0"/>
      <w:jc w:val="both"/>
    </w:pPr>
    <w:rPr>
      <w:rFonts w:ascii="Times New Roman" w:eastAsia="宋体" w:cs="Times New Roman"/>
      <w:w w:val="50"/>
      <w:kern w:val="10"/>
      <w:sz w:val="18"/>
      <w:szCs w:val="18"/>
    </w:rPr>
  </w:style>
  <w:style w:type="paragraph" w:styleId="5">
    <w:name w:val="Date"/>
    <w:basedOn w:val="1"/>
    <w:next w:val="1"/>
    <w:link w:val="24"/>
    <w:qFormat/>
    <w:uiPriority w:val="99"/>
    <w:pPr>
      <w:ind w:right="500" w:rightChars="500" w:firstLine="0" w:firstLineChars="0"/>
      <w:jc w:val="right"/>
    </w:pPr>
  </w:style>
  <w:style w:type="paragraph" w:styleId="6">
    <w:name w:val="footer"/>
    <w:basedOn w:val="1"/>
    <w:link w:val="23"/>
    <w:qFormat/>
    <w:uiPriority w:val="99"/>
    <w:pPr>
      <w:tabs>
        <w:tab w:val="center" w:pos="4153"/>
        <w:tab w:val="right" w:pos="8306"/>
      </w:tabs>
      <w:spacing w:line="240" w:lineRule="atLeast"/>
    </w:pPr>
    <w:rPr>
      <w:sz w:val="18"/>
      <w:szCs w:val="18"/>
    </w:rPr>
  </w:style>
  <w:style w:type="paragraph" w:styleId="7">
    <w:name w:val="Signature"/>
    <w:basedOn w:val="1"/>
    <w:link w:val="25"/>
    <w:qFormat/>
    <w:uiPriority w:val="99"/>
    <w:pPr>
      <w:ind w:right="300" w:rightChars="300" w:firstLine="0" w:firstLineChars="0"/>
      <w:jc w:val="right"/>
    </w:pPr>
  </w:style>
  <w:style w:type="paragraph" w:styleId="8">
    <w:name w:val="toc 1"/>
    <w:basedOn w:val="1"/>
    <w:next w:val="1"/>
    <w:semiHidden/>
    <w:uiPriority w:val="99"/>
    <w:pPr>
      <w:spacing w:beforeLines="100"/>
      <w:ind w:firstLine="0" w:firstLineChars="0"/>
      <w:jc w:val="center"/>
    </w:pPr>
    <w:rPr>
      <w:rFonts w:hAnsi="仿宋"/>
      <w:b/>
      <w:bCs/>
    </w:rPr>
  </w:style>
  <w:style w:type="paragraph" w:styleId="9">
    <w:name w:val="Subtitle"/>
    <w:basedOn w:val="1"/>
    <w:next w:val="1"/>
    <w:link w:val="18"/>
    <w:qFormat/>
    <w:uiPriority w:val="99"/>
    <w:pPr>
      <w:ind w:firstLine="0" w:firstLineChars="0"/>
      <w:jc w:val="center"/>
      <w:outlineLvl w:val="1"/>
    </w:pPr>
    <w:rPr>
      <w:rFonts w:hAnsi="仿宋"/>
      <w:kern w:val="28"/>
      <w:sz w:val="30"/>
      <w:szCs w:val="30"/>
    </w:rPr>
  </w:style>
  <w:style w:type="paragraph" w:styleId="10">
    <w:name w:val="toc 2"/>
    <w:basedOn w:val="1"/>
    <w:next w:val="1"/>
    <w:link w:val="22"/>
    <w:semiHidden/>
    <w:qFormat/>
    <w:uiPriority w:val="99"/>
    <w:rPr>
      <w:rFonts w:eastAsia="黑体"/>
    </w:rPr>
  </w:style>
  <w:style w:type="paragraph" w:styleId="11">
    <w:name w:val="toc 9"/>
    <w:basedOn w:val="1"/>
    <w:next w:val="1"/>
    <w:semiHidden/>
    <w:qFormat/>
    <w:uiPriority w:val="99"/>
    <w:pPr>
      <w:ind w:right="1260" w:rightChars="450" w:firstLine="0" w:firstLineChars="0"/>
      <w:jc w:val="right"/>
    </w:pPr>
    <w:rPr>
      <w:rFonts w:hAnsi="仿宋"/>
    </w:rPr>
  </w:style>
  <w:style w:type="paragraph" w:styleId="12">
    <w:name w:val="Title"/>
    <w:basedOn w:val="1"/>
    <w:next w:val="1"/>
    <w:link w:val="17"/>
    <w:qFormat/>
    <w:uiPriority w:val="99"/>
    <w:pPr>
      <w:ind w:firstLine="0" w:firstLineChars="0"/>
      <w:jc w:val="center"/>
      <w:outlineLvl w:val="0"/>
    </w:pPr>
    <w:rPr>
      <w:rFonts w:hAnsi="仿宋" w:eastAsia="黑体"/>
      <w:sz w:val="36"/>
      <w:szCs w:val="36"/>
    </w:rPr>
  </w:style>
  <w:style w:type="character" w:customStyle="1" w:styleId="15">
    <w:name w:val="Heading 1 Char"/>
    <w:basedOn w:val="13"/>
    <w:link w:val="2"/>
    <w:qFormat/>
    <w:locked/>
    <w:uiPriority w:val="99"/>
    <w:rPr>
      <w:rFonts w:ascii="Times New Roman" w:hAnsi="Times New Roman" w:eastAsia="黑体" w:cs="Times New Roman"/>
      <w:kern w:val="44"/>
      <w:sz w:val="44"/>
      <w:szCs w:val="44"/>
    </w:rPr>
  </w:style>
  <w:style w:type="character" w:customStyle="1" w:styleId="16">
    <w:name w:val="Heading 2 Char"/>
    <w:basedOn w:val="13"/>
    <w:link w:val="3"/>
    <w:qFormat/>
    <w:locked/>
    <w:uiPriority w:val="99"/>
    <w:rPr>
      <w:rFonts w:ascii="Cambria" w:hAnsi="Cambria" w:eastAsia="黑体" w:cs="Cambria"/>
      <w:sz w:val="32"/>
      <w:szCs w:val="32"/>
    </w:rPr>
  </w:style>
  <w:style w:type="character" w:customStyle="1" w:styleId="17">
    <w:name w:val="Title Char"/>
    <w:basedOn w:val="13"/>
    <w:link w:val="12"/>
    <w:qFormat/>
    <w:locked/>
    <w:uiPriority w:val="99"/>
    <w:rPr>
      <w:rFonts w:ascii="仿宋" w:hAnsi="仿宋" w:eastAsia="黑体" w:cs="仿宋"/>
      <w:snapToGrid w:val="0"/>
      <w:kern w:val="0"/>
      <w:sz w:val="32"/>
      <w:szCs w:val="32"/>
    </w:rPr>
  </w:style>
  <w:style w:type="character" w:customStyle="1" w:styleId="18">
    <w:name w:val="Subtitle Char"/>
    <w:basedOn w:val="13"/>
    <w:link w:val="9"/>
    <w:qFormat/>
    <w:locked/>
    <w:uiPriority w:val="99"/>
    <w:rPr>
      <w:rFonts w:ascii="仿宋" w:hAnsi="仿宋" w:eastAsia="仿宋" w:cs="仿宋"/>
      <w:snapToGrid w:val="0"/>
      <w:kern w:val="28"/>
      <w:sz w:val="32"/>
      <w:szCs w:val="32"/>
    </w:rPr>
  </w:style>
  <w:style w:type="paragraph" w:customStyle="1" w:styleId="19">
    <w:name w:val="No Spacing"/>
    <w:qFormat/>
    <w:uiPriority w:val="99"/>
    <w:pPr>
      <w:adjustRightInd w:val="0"/>
      <w:snapToGrid w:val="0"/>
      <w:spacing w:beforeAutospacing="1" w:afterAutospacing="1"/>
      <w:ind w:firstLine="200" w:firstLineChars="200"/>
    </w:pPr>
    <w:rPr>
      <w:rFonts w:ascii="Times New Roman" w:hAnsi="Times New Roman" w:eastAsia="仿宋" w:cs="Times New Roman"/>
      <w:kern w:val="2"/>
      <w:sz w:val="28"/>
      <w:szCs w:val="28"/>
      <w:lang w:val="en-US" w:eastAsia="zh-CN" w:bidi="ar-SA"/>
    </w:rPr>
  </w:style>
  <w:style w:type="paragraph" w:customStyle="1" w:styleId="20">
    <w:name w:val="无间隔1"/>
    <w:qFormat/>
    <w:uiPriority w:val="99"/>
    <w:pPr>
      <w:widowControl w:val="0"/>
      <w:spacing w:before="100" w:beforeAutospacing="1" w:after="100" w:afterAutospacing="1"/>
      <w:jc w:val="both"/>
    </w:pPr>
    <w:rPr>
      <w:rFonts w:ascii="Times New Roman" w:hAnsi="Times New Roman" w:eastAsia="宋体" w:cs="Times New Roman"/>
      <w:kern w:val="2"/>
      <w:sz w:val="21"/>
      <w:szCs w:val="21"/>
      <w:lang w:val="en-US" w:eastAsia="zh-CN" w:bidi="ar-SA"/>
    </w:rPr>
  </w:style>
  <w:style w:type="paragraph" w:customStyle="1" w:styleId="21">
    <w:name w:val="第一层"/>
    <w:basedOn w:val="1"/>
    <w:next w:val="1"/>
    <w:qFormat/>
    <w:uiPriority w:val="99"/>
    <w:pPr>
      <w:jc w:val="center"/>
    </w:pPr>
    <w:rPr>
      <w:rFonts w:hAnsi="仿宋" w:eastAsia="黑体"/>
    </w:rPr>
  </w:style>
  <w:style w:type="character" w:customStyle="1" w:styleId="22">
    <w:name w:val="TOC 2 Char"/>
    <w:basedOn w:val="13"/>
    <w:link w:val="10"/>
    <w:qFormat/>
    <w:locked/>
    <w:uiPriority w:val="99"/>
    <w:rPr>
      <w:rFonts w:ascii="Times New Roman" w:hAnsi="Times New Roman" w:eastAsia="黑体" w:cs="Times New Roman"/>
      <w:snapToGrid w:val="0"/>
      <w:kern w:val="0"/>
      <w:sz w:val="24"/>
      <w:szCs w:val="24"/>
    </w:rPr>
  </w:style>
  <w:style w:type="character" w:customStyle="1" w:styleId="23">
    <w:name w:val="Footer Char"/>
    <w:basedOn w:val="13"/>
    <w:link w:val="6"/>
    <w:qFormat/>
    <w:locked/>
    <w:uiPriority w:val="99"/>
    <w:rPr>
      <w:rFonts w:ascii="Times New Roman" w:hAnsi="Times New Roman" w:eastAsia="仿宋" w:cs="Times New Roman"/>
      <w:sz w:val="18"/>
      <w:szCs w:val="18"/>
    </w:rPr>
  </w:style>
  <w:style w:type="character" w:customStyle="1" w:styleId="24">
    <w:name w:val="Date Char"/>
    <w:basedOn w:val="13"/>
    <w:link w:val="5"/>
    <w:qFormat/>
    <w:locked/>
    <w:uiPriority w:val="99"/>
    <w:rPr>
      <w:rFonts w:ascii="仿宋" w:hAnsi="Times New Roman" w:eastAsia="仿宋" w:cs="仿宋"/>
      <w:snapToGrid w:val="0"/>
      <w:kern w:val="0"/>
      <w:sz w:val="24"/>
      <w:szCs w:val="24"/>
    </w:rPr>
  </w:style>
  <w:style w:type="character" w:customStyle="1" w:styleId="25">
    <w:name w:val="Signature Char"/>
    <w:basedOn w:val="13"/>
    <w:link w:val="7"/>
    <w:qFormat/>
    <w:locked/>
    <w:uiPriority w:val="99"/>
    <w:rPr>
      <w:rFonts w:ascii="仿宋" w:hAnsi="Times New Roman" w:eastAsia="仿宋" w:cs="仿宋"/>
      <w:snapToGrid w:val="0"/>
      <w:kern w:val="0"/>
      <w:sz w:val="24"/>
      <w:szCs w:val="24"/>
    </w:rPr>
  </w:style>
  <w:style w:type="character" w:customStyle="1" w:styleId="26">
    <w:name w:val="Body Text Indent Char"/>
    <w:basedOn w:val="13"/>
    <w:link w:val="4"/>
    <w:semiHidden/>
    <w:qFormat/>
    <w:locked/>
    <w:uiPriority w:val="99"/>
    <w:rPr>
      <w:rFonts w:ascii="仿宋" w:hAnsi="Times New Roman" w:eastAsia="仿宋" w:cs="仿宋"/>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10</Pages>
  <Words>736</Words>
  <Characters>4197</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2017-02-23T00:50:00Z</dcterms:created>
  <dc:creator>微软用户</dc:creator>
  <cp:lastModifiedBy>Administrator</cp:lastModifiedBy>
  <cp:lastPrinted>2017-02-22T10:09:00Z</cp:lastPrinted>
  <dcterms:modified xsi:type="dcterms:W3CDTF">2017-03-30T01:12:19Z</dcterms:modified>
  <dc:title>延边大学本科教学事故认定及处理办法(修订)</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